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46" w:rsidRDefault="00001295" w:rsidP="00001295">
      <w:pPr>
        <w:pBdr>
          <w:bottom w:val="single" w:sz="12" w:space="1" w:color="auto"/>
        </w:pBdr>
        <w:jc w:val="center"/>
        <w:rPr>
          <w:rFonts w:ascii="Arial" w:hAnsi="Arial" w:cs="Arial"/>
          <w:b/>
          <w:sz w:val="24"/>
        </w:rPr>
      </w:pPr>
      <w:bookmarkStart w:id="0" w:name="_GoBack"/>
      <w:bookmarkEnd w:id="0"/>
      <w:r>
        <w:rPr>
          <w:rFonts w:ascii="Arial" w:hAnsi="Arial" w:cs="Arial"/>
          <w:b/>
          <w:sz w:val="24"/>
        </w:rPr>
        <w:t xml:space="preserve">Report of </w:t>
      </w:r>
      <w:r w:rsidR="00310B69">
        <w:rPr>
          <w:rFonts w:ascii="Arial" w:hAnsi="Arial" w:cs="Arial"/>
          <w:b/>
          <w:sz w:val="24"/>
        </w:rPr>
        <w:t>Corporate</w:t>
      </w:r>
      <w:r w:rsidR="00441802">
        <w:rPr>
          <w:rFonts w:ascii="Arial" w:hAnsi="Arial" w:cs="Arial"/>
          <w:b/>
          <w:sz w:val="24"/>
        </w:rPr>
        <w:t xml:space="preserve"> Assurance </w:t>
      </w:r>
      <w:r>
        <w:rPr>
          <w:rFonts w:ascii="Arial" w:hAnsi="Arial" w:cs="Arial"/>
          <w:b/>
          <w:sz w:val="24"/>
        </w:rPr>
        <w:t>Manager</w:t>
      </w:r>
    </w:p>
    <w:p w:rsidR="00001295" w:rsidRDefault="00001295" w:rsidP="00001295">
      <w:pPr>
        <w:pBdr>
          <w:bottom w:val="single" w:sz="12" w:space="1" w:color="auto"/>
        </w:pBdr>
        <w:jc w:val="center"/>
        <w:rPr>
          <w:rFonts w:ascii="Arial" w:hAnsi="Arial" w:cs="Arial"/>
          <w:b/>
          <w:sz w:val="24"/>
        </w:rPr>
      </w:pPr>
      <w:r>
        <w:rPr>
          <w:rFonts w:ascii="Arial" w:hAnsi="Arial" w:cs="Arial"/>
          <w:b/>
          <w:sz w:val="24"/>
        </w:rPr>
        <w:t>To</w:t>
      </w:r>
    </w:p>
    <w:p w:rsidR="00001295" w:rsidRDefault="00583FFD" w:rsidP="00001295">
      <w:pPr>
        <w:pBdr>
          <w:bottom w:val="single" w:sz="12" w:space="1" w:color="auto"/>
        </w:pBdr>
        <w:jc w:val="center"/>
        <w:rPr>
          <w:rFonts w:ascii="Arial" w:hAnsi="Arial" w:cs="Arial"/>
          <w:b/>
          <w:sz w:val="24"/>
        </w:rPr>
      </w:pPr>
      <w:r>
        <w:rPr>
          <w:rFonts w:ascii="Arial" w:hAnsi="Arial" w:cs="Arial"/>
          <w:b/>
          <w:sz w:val="24"/>
        </w:rPr>
        <w:t xml:space="preserve">GOVERNANCE </w:t>
      </w:r>
      <w:r w:rsidR="000B2A10">
        <w:rPr>
          <w:rFonts w:ascii="Arial" w:hAnsi="Arial" w:cs="Arial"/>
          <w:b/>
          <w:sz w:val="24"/>
        </w:rPr>
        <w:t>AND</w:t>
      </w:r>
      <w:r>
        <w:rPr>
          <w:rFonts w:ascii="Arial" w:hAnsi="Arial" w:cs="Arial"/>
          <w:b/>
          <w:sz w:val="24"/>
        </w:rPr>
        <w:t xml:space="preserve"> </w:t>
      </w:r>
      <w:r w:rsidR="00310B69">
        <w:rPr>
          <w:rFonts w:ascii="Arial" w:hAnsi="Arial" w:cs="Arial"/>
          <w:b/>
          <w:sz w:val="24"/>
        </w:rPr>
        <w:t>STANDARDS</w:t>
      </w:r>
      <w:r w:rsidR="00001295">
        <w:rPr>
          <w:rFonts w:ascii="Arial" w:hAnsi="Arial" w:cs="Arial"/>
          <w:b/>
          <w:sz w:val="24"/>
        </w:rPr>
        <w:t xml:space="preserve"> C</w:t>
      </w:r>
      <w:r w:rsidR="008F78EE">
        <w:rPr>
          <w:rFonts w:ascii="Arial" w:hAnsi="Arial" w:cs="Arial"/>
          <w:b/>
          <w:sz w:val="24"/>
        </w:rPr>
        <w:t>OMMITTEE</w:t>
      </w:r>
    </w:p>
    <w:p w:rsidR="00001295" w:rsidRDefault="00001295" w:rsidP="00001295">
      <w:pPr>
        <w:pBdr>
          <w:bottom w:val="single" w:sz="12" w:space="1" w:color="auto"/>
        </w:pBdr>
        <w:jc w:val="center"/>
        <w:rPr>
          <w:rFonts w:ascii="Arial" w:hAnsi="Arial" w:cs="Arial"/>
          <w:b/>
          <w:sz w:val="24"/>
        </w:rPr>
      </w:pPr>
      <w:r>
        <w:rPr>
          <w:rFonts w:ascii="Arial" w:hAnsi="Arial" w:cs="Arial"/>
          <w:b/>
          <w:sz w:val="24"/>
        </w:rPr>
        <w:t>On</w:t>
      </w:r>
    </w:p>
    <w:p w:rsidR="00001295" w:rsidRDefault="00895616" w:rsidP="00001295">
      <w:pPr>
        <w:pBdr>
          <w:bottom w:val="single" w:sz="12" w:space="1" w:color="auto"/>
        </w:pBdr>
        <w:jc w:val="center"/>
        <w:rPr>
          <w:rFonts w:ascii="Arial" w:hAnsi="Arial" w:cs="Arial"/>
          <w:b/>
          <w:sz w:val="24"/>
        </w:rPr>
      </w:pPr>
      <w:r>
        <w:rPr>
          <w:rFonts w:ascii="Arial" w:hAnsi="Arial" w:cs="Arial"/>
          <w:b/>
          <w:sz w:val="24"/>
        </w:rPr>
        <w:t>2</w:t>
      </w:r>
      <w:r w:rsidR="00950DF6">
        <w:rPr>
          <w:rFonts w:ascii="Arial" w:hAnsi="Arial" w:cs="Arial"/>
          <w:b/>
          <w:sz w:val="24"/>
        </w:rPr>
        <w:t>3</w:t>
      </w:r>
      <w:r w:rsidR="008F78EE">
        <w:rPr>
          <w:rFonts w:ascii="Arial" w:hAnsi="Arial" w:cs="Arial"/>
          <w:b/>
          <w:sz w:val="24"/>
        </w:rPr>
        <w:t xml:space="preserve"> </w:t>
      </w:r>
      <w:r>
        <w:rPr>
          <w:rFonts w:ascii="Arial" w:hAnsi="Arial" w:cs="Arial"/>
          <w:b/>
          <w:sz w:val="24"/>
        </w:rPr>
        <w:t>J</w:t>
      </w:r>
      <w:r w:rsidR="00950DF6">
        <w:rPr>
          <w:rFonts w:ascii="Arial" w:hAnsi="Arial" w:cs="Arial"/>
          <w:b/>
          <w:sz w:val="24"/>
        </w:rPr>
        <w:t>une</w:t>
      </w:r>
      <w:r w:rsidR="00C04E79">
        <w:rPr>
          <w:rFonts w:ascii="Arial" w:hAnsi="Arial" w:cs="Arial"/>
          <w:b/>
          <w:sz w:val="24"/>
        </w:rPr>
        <w:t>,</w:t>
      </w:r>
      <w:r w:rsidR="006F454D">
        <w:rPr>
          <w:rFonts w:ascii="Arial" w:hAnsi="Arial" w:cs="Arial"/>
          <w:b/>
          <w:sz w:val="24"/>
        </w:rPr>
        <w:t xml:space="preserve"> 20</w:t>
      </w:r>
      <w:r>
        <w:rPr>
          <w:rFonts w:ascii="Arial" w:hAnsi="Arial" w:cs="Arial"/>
          <w:b/>
          <w:sz w:val="24"/>
        </w:rPr>
        <w:t>2</w:t>
      </w:r>
      <w:r w:rsidR="00310B69">
        <w:rPr>
          <w:rFonts w:ascii="Arial" w:hAnsi="Arial" w:cs="Arial"/>
          <w:b/>
          <w:sz w:val="24"/>
        </w:rPr>
        <w:t>1</w:t>
      </w:r>
    </w:p>
    <w:p w:rsidR="00001295" w:rsidRPr="00035950" w:rsidRDefault="00001295">
      <w:pPr>
        <w:pBdr>
          <w:bottom w:val="single" w:sz="12" w:space="1" w:color="auto"/>
        </w:pBdr>
        <w:rPr>
          <w:rFonts w:ascii="Arial" w:hAnsi="Arial" w:cs="Arial"/>
          <w:b/>
          <w:sz w:val="24"/>
        </w:rPr>
      </w:pPr>
    </w:p>
    <w:p w:rsidR="00C82946" w:rsidRDefault="00C82946">
      <w:pPr>
        <w:rPr>
          <w:b/>
          <w:sz w:val="24"/>
        </w:rPr>
      </w:pPr>
    </w:p>
    <w:p w:rsidR="00001295" w:rsidRPr="00001295" w:rsidRDefault="00001295" w:rsidP="00F2514C">
      <w:pPr>
        <w:pStyle w:val="Heading1"/>
        <w:ind w:right="-432" w:hanging="142"/>
        <w:jc w:val="center"/>
        <w:rPr>
          <w:rFonts w:ascii="Arial" w:hAnsi="Arial" w:cs="Arial"/>
          <w:b/>
          <w:sz w:val="24"/>
          <w:szCs w:val="24"/>
          <w:u w:val="none"/>
        </w:rPr>
      </w:pPr>
      <w:r w:rsidRPr="00001295">
        <w:rPr>
          <w:rFonts w:ascii="Arial" w:hAnsi="Arial" w:cs="Arial"/>
          <w:b/>
          <w:sz w:val="24"/>
          <w:szCs w:val="24"/>
          <w:u w:val="none"/>
        </w:rPr>
        <w:t>I</w:t>
      </w:r>
      <w:r w:rsidR="008F78EE">
        <w:rPr>
          <w:rFonts w:ascii="Arial" w:hAnsi="Arial" w:cs="Arial"/>
          <w:b/>
          <w:sz w:val="24"/>
          <w:szCs w:val="24"/>
          <w:u w:val="none"/>
        </w:rPr>
        <w:t>NTERNAL</w:t>
      </w:r>
      <w:r w:rsidRPr="00001295">
        <w:rPr>
          <w:rFonts w:ascii="Arial" w:hAnsi="Arial" w:cs="Arial"/>
          <w:b/>
          <w:sz w:val="24"/>
          <w:szCs w:val="24"/>
          <w:u w:val="none"/>
        </w:rPr>
        <w:t xml:space="preserve"> A</w:t>
      </w:r>
      <w:r w:rsidR="008F78EE">
        <w:rPr>
          <w:rFonts w:ascii="Arial" w:hAnsi="Arial" w:cs="Arial"/>
          <w:b/>
          <w:sz w:val="24"/>
          <w:szCs w:val="24"/>
          <w:u w:val="none"/>
        </w:rPr>
        <w:t>UDIT</w:t>
      </w:r>
      <w:r w:rsidRPr="00001295">
        <w:rPr>
          <w:rFonts w:ascii="Arial" w:hAnsi="Arial" w:cs="Arial"/>
          <w:b/>
          <w:sz w:val="24"/>
          <w:szCs w:val="24"/>
          <w:u w:val="none"/>
        </w:rPr>
        <w:t xml:space="preserve"> </w:t>
      </w:r>
      <w:smartTag w:uri="urn:schemas-microsoft-com:office:smarttags" w:element="stockticker">
        <w:r w:rsidR="006F454D">
          <w:rPr>
            <w:rFonts w:ascii="Arial" w:hAnsi="Arial" w:cs="Arial"/>
            <w:b/>
            <w:sz w:val="24"/>
            <w:szCs w:val="24"/>
            <w:u w:val="none"/>
          </w:rPr>
          <w:t>P</w:t>
        </w:r>
        <w:r w:rsidR="008F78EE">
          <w:rPr>
            <w:rFonts w:ascii="Arial" w:hAnsi="Arial" w:cs="Arial"/>
            <w:b/>
            <w:sz w:val="24"/>
            <w:szCs w:val="24"/>
            <w:u w:val="none"/>
          </w:rPr>
          <w:t>LAN</w:t>
        </w:r>
      </w:smartTag>
      <w:r w:rsidRPr="00001295">
        <w:rPr>
          <w:rFonts w:ascii="Arial" w:hAnsi="Arial" w:cs="Arial"/>
          <w:b/>
          <w:sz w:val="24"/>
          <w:szCs w:val="24"/>
          <w:u w:val="none"/>
        </w:rPr>
        <w:t xml:space="preserve"> </w:t>
      </w:r>
      <w:r w:rsidR="00950DF6">
        <w:rPr>
          <w:rFonts w:ascii="Arial" w:hAnsi="Arial" w:cs="Arial"/>
          <w:b/>
          <w:sz w:val="24"/>
          <w:szCs w:val="24"/>
          <w:u w:val="none"/>
        </w:rPr>
        <w:t>FOR 1</w:t>
      </w:r>
      <w:r w:rsidR="00950DF6" w:rsidRPr="00950DF6">
        <w:rPr>
          <w:rFonts w:ascii="Arial" w:hAnsi="Arial" w:cs="Arial"/>
          <w:b/>
          <w:sz w:val="24"/>
          <w:szCs w:val="24"/>
          <w:u w:val="none"/>
          <w:vertAlign w:val="superscript"/>
        </w:rPr>
        <w:t>st</w:t>
      </w:r>
      <w:r w:rsidR="00950DF6">
        <w:rPr>
          <w:rFonts w:ascii="Arial" w:hAnsi="Arial" w:cs="Arial"/>
          <w:b/>
          <w:sz w:val="24"/>
          <w:szCs w:val="24"/>
          <w:u w:val="none"/>
        </w:rPr>
        <w:t xml:space="preserve"> QUARTER </w:t>
      </w:r>
      <w:r w:rsidRPr="00001295">
        <w:rPr>
          <w:rFonts w:ascii="Arial" w:hAnsi="Arial" w:cs="Arial"/>
          <w:b/>
          <w:sz w:val="24"/>
          <w:szCs w:val="24"/>
          <w:u w:val="none"/>
        </w:rPr>
        <w:t xml:space="preserve">– </w:t>
      </w:r>
      <w:r w:rsidR="006F454D">
        <w:rPr>
          <w:rFonts w:ascii="Arial" w:hAnsi="Arial" w:cs="Arial"/>
          <w:b/>
          <w:sz w:val="24"/>
          <w:szCs w:val="24"/>
          <w:u w:val="none"/>
        </w:rPr>
        <w:t>P</w:t>
      </w:r>
      <w:r w:rsidR="008F78EE">
        <w:rPr>
          <w:rFonts w:ascii="Arial" w:hAnsi="Arial" w:cs="Arial"/>
          <w:b/>
          <w:sz w:val="24"/>
          <w:szCs w:val="24"/>
          <w:u w:val="none"/>
        </w:rPr>
        <w:t>ROGRESS</w:t>
      </w:r>
      <w:r w:rsidR="006F454D">
        <w:rPr>
          <w:rFonts w:ascii="Arial" w:hAnsi="Arial" w:cs="Arial"/>
          <w:b/>
          <w:sz w:val="24"/>
          <w:szCs w:val="24"/>
          <w:u w:val="none"/>
        </w:rPr>
        <w:t xml:space="preserve"> S</w:t>
      </w:r>
      <w:r w:rsidR="008F78EE">
        <w:rPr>
          <w:rFonts w:ascii="Arial" w:hAnsi="Arial" w:cs="Arial"/>
          <w:b/>
          <w:sz w:val="24"/>
          <w:szCs w:val="24"/>
          <w:u w:val="none"/>
        </w:rPr>
        <w:t>TATEMENT</w:t>
      </w:r>
      <w:r w:rsidR="00735BE5">
        <w:rPr>
          <w:rFonts w:ascii="Arial" w:hAnsi="Arial" w:cs="Arial"/>
          <w:b/>
          <w:sz w:val="24"/>
          <w:szCs w:val="24"/>
          <w:u w:val="none"/>
        </w:rPr>
        <w:t xml:space="preserve"> </w:t>
      </w:r>
      <w:r w:rsidR="00950DF6">
        <w:rPr>
          <w:rFonts w:ascii="Arial" w:hAnsi="Arial" w:cs="Arial"/>
          <w:b/>
          <w:sz w:val="24"/>
          <w:szCs w:val="24"/>
          <w:u w:val="none"/>
        </w:rPr>
        <w:t>&amp; PROPOSED INTERNAL AUDIT PLAN FOR 2</w:t>
      </w:r>
      <w:r w:rsidR="00950DF6" w:rsidRPr="00950DF6">
        <w:rPr>
          <w:rFonts w:ascii="Arial" w:hAnsi="Arial" w:cs="Arial"/>
          <w:b/>
          <w:sz w:val="24"/>
          <w:szCs w:val="24"/>
          <w:u w:val="none"/>
          <w:vertAlign w:val="superscript"/>
        </w:rPr>
        <w:t>nd</w:t>
      </w:r>
      <w:r w:rsidR="00950DF6">
        <w:rPr>
          <w:rFonts w:ascii="Arial" w:hAnsi="Arial" w:cs="Arial"/>
          <w:b/>
          <w:sz w:val="24"/>
          <w:szCs w:val="24"/>
          <w:u w:val="none"/>
        </w:rPr>
        <w:t xml:space="preserve"> QUARTER OF 2021/2022</w:t>
      </w:r>
    </w:p>
    <w:p w:rsidR="00C82946" w:rsidRPr="00304BD4" w:rsidRDefault="00C82946" w:rsidP="00304BD4">
      <w:pPr>
        <w:pBdr>
          <w:bottom w:val="single" w:sz="12" w:space="1" w:color="auto"/>
        </w:pBdr>
        <w:jc w:val="both"/>
        <w:rPr>
          <w:rFonts w:ascii="Arial" w:hAnsi="Arial" w:cs="Arial"/>
          <w:sz w:val="24"/>
          <w:szCs w:val="24"/>
        </w:rPr>
      </w:pPr>
    </w:p>
    <w:p w:rsidR="00C82946" w:rsidRPr="00304BD4" w:rsidRDefault="00C82946" w:rsidP="00304BD4">
      <w:pPr>
        <w:jc w:val="both"/>
        <w:rPr>
          <w:rFonts w:ascii="Arial" w:hAnsi="Arial" w:cs="Arial"/>
          <w:sz w:val="24"/>
          <w:szCs w:val="24"/>
        </w:rPr>
      </w:pPr>
    </w:p>
    <w:p w:rsidR="00C82946" w:rsidRPr="008F78EE" w:rsidRDefault="00C82946" w:rsidP="00DA3469">
      <w:pPr>
        <w:pStyle w:val="Heading5"/>
        <w:rPr>
          <w:rFonts w:ascii="Arial" w:hAnsi="Arial" w:cs="Arial"/>
          <w:b/>
          <w:szCs w:val="24"/>
          <w:u w:val="none"/>
        </w:rPr>
      </w:pPr>
      <w:r w:rsidRPr="008F78EE">
        <w:rPr>
          <w:rFonts w:ascii="Arial" w:hAnsi="Arial" w:cs="Arial"/>
          <w:b/>
          <w:szCs w:val="24"/>
          <w:u w:val="none"/>
        </w:rPr>
        <w:t>SUMMARY</w:t>
      </w:r>
    </w:p>
    <w:p w:rsidR="00C82946" w:rsidRPr="00304BD4" w:rsidRDefault="00C82946" w:rsidP="00DA3469">
      <w:pPr>
        <w:jc w:val="both"/>
        <w:rPr>
          <w:rFonts w:ascii="Arial" w:hAnsi="Arial" w:cs="Arial"/>
          <w:sz w:val="24"/>
          <w:szCs w:val="24"/>
          <w:u w:val="single"/>
        </w:rPr>
      </w:pPr>
    </w:p>
    <w:p w:rsidR="00780429" w:rsidRDefault="00310B69" w:rsidP="00310B69">
      <w:pPr>
        <w:pStyle w:val="BodyTextIndent"/>
        <w:numPr>
          <w:ilvl w:val="1"/>
          <w:numId w:val="1"/>
        </w:numPr>
        <w:ind w:right="-270"/>
        <w:jc w:val="both"/>
        <w:rPr>
          <w:rFonts w:ascii="Arial" w:hAnsi="Arial" w:cs="Arial"/>
          <w:szCs w:val="24"/>
        </w:rPr>
      </w:pPr>
      <w:r>
        <w:rPr>
          <w:rFonts w:ascii="Arial" w:hAnsi="Arial" w:cs="Arial"/>
          <w:szCs w:val="24"/>
        </w:rPr>
        <w:t xml:space="preserve">The report details the </w:t>
      </w:r>
      <w:r w:rsidR="006066D2">
        <w:rPr>
          <w:rFonts w:ascii="Arial" w:hAnsi="Arial" w:cs="Arial"/>
          <w:szCs w:val="24"/>
        </w:rPr>
        <w:t>progress</w:t>
      </w:r>
      <w:r>
        <w:rPr>
          <w:rFonts w:ascii="Arial" w:hAnsi="Arial" w:cs="Arial"/>
          <w:szCs w:val="24"/>
        </w:rPr>
        <w:t xml:space="preserve"> that has been </w:t>
      </w:r>
      <w:r w:rsidR="006B4ADC">
        <w:rPr>
          <w:rFonts w:ascii="Arial" w:hAnsi="Arial" w:cs="Arial"/>
          <w:szCs w:val="24"/>
        </w:rPr>
        <w:t xml:space="preserve">made </w:t>
      </w:r>
      <w:r>
        <w:rPr>
          <w:rFonts w:ascii="Arial" w:hAnsi="Arial" w:cs="Arial"/>
          <w:szCs w:val="24"/>
        </w:rPr>
        <w:t xml:space="preserve">in delivering the </w:t>
      </w:r>
      <w:r w:rsidR="006B648F">
        <w:rPr>
          <w:rFonts w:ascii="Arial" w:hAnsi="Arial" w:cs="Arial"/>
          <w:szCs w:val="24"/>
        </w:rPr>
        <w:t>a</w:t>
      </w:r>
      <w:r w:rsidR="00DF1001">
        <w:rPr>
          <w:rFonts w:ascii="Arial" w:hAnsi="Arial" w:cs="Arial"/>
          <w:szCs w:val="24"/>
        </w:rPr>
        <w:t>pproved</w:t>
      </w:r>
      <w:r w:rsidR="006B648F">
        <w:rPr>
          <w:rFonts w:ascii="Arial" w:hAnsi="Arial" w:cs="Arial"/>
          <w:szCs w:val="24"/>
        </w:rPr>
        <w:t xml:space="preserve"> Audit Plan </w:t>
      </w:r>
      <w:r>
        <w:rPr>
          <w:rFonts w:ascii="Arial" w:hAnsi="Arial" w:cs="Arial"/>
          <w:szCs w:val="24"/>
        </w:rPr>
        <w:t xml:space="preserve">for the period 1 </w:t>
      </w:r>
      <w:r w:rsidR="006B4ADC">
        <w:rPr>
          <w:rFonts w:ascii="Arial" w:hAnsi="Arial" w:cs="Arial"/>
          <w:szCs w:val="24"/>
        </w:rPr>
        <w:t>April</w:t>
      </w:r>
      <w:r>
        <w:rPr>
          <w:rFonts w:ascii="Arial" w:hAnsi="Arial" w:cs="Arial"/>
          <w:szCs w:val="24"/>
        </w:rPr>
        <w:t xml:space="preserve"> - </w:t>
      </w:r>
      <w:r w:rsidR="006B648F">
        <w:rPr>
          <w:rFonts w:ascii="Arial" w:hAnsi="Arial" w:cs="Arial"/>
          <w:szCs w:val="24"/>
        </w:rPr>
        <w:t>3</w:t>
      </w:r>
      <w:r w:rsidR="006B4ADC">
        <w:rPr>
          <w:rFonts w:ascii="Arial" w:hAnsi="Arial" w:cs="Arial"/>
          <w:szCs w:val="24"/>
        </w:rPr>
        <w:t>0</w:t>
      </w:r>
      <w:r w:rsidR="006B648F">
        <w:rPr>
          <w:rFonts w:ascii="Arial" w:hAnsi="Arial" w:cs="Arial"/>
          <w:szCs w:val="24"/>
        </w:rPr>
        <w:t xml:space="preserve"> </w:t>
      </w:r>
      <w:r w:rsidR="006B4ADC">
        <w:rPr>
          <w:rFonts w:ascii="Arial" w:hAnsi="Arial" w:cs="Arial"/>
          <w:szCs w:val="24"/>
        </w:rPr>
        <w:t>June</w:t>
      </w:r>
      <w:r w:rsidR="006B648F">
        <w:rPr>
          <w:rFonts w:ascii="Arial" w:hAnsi="Arial" w:cs="Arial"/>
          <w:szCs w:val="24"/>
        </w:rPr>
        <w:t xml:space="preserve"> 20</w:t>
      </w:r>
      <w:r>
        <w:rPr>
          <w:rFonts w:ascii="Arial" w:hAnsi="Arial" w:cs="Arial"/>
          <w:szCs w:val="24"/>
        </w:rPr>
        <w:t>2</w:t>
      </w:r>
      <w:r w:rsidR="006B4ADC">
        <w:rPr>
          <w:rFonts w:ascii="Arial" w:hAnsi="Arial" w:cs="Arial"/>
          <w:szCs w:val="24"/>
        </w:rPr>
        <w:t>1</w:t>
      </w:r>
      <w:r w:rsidR="00735BE5">
        <w:rPr>
          <w:rFonts w:ascii="Arial" w:hAnsi="Arial" w:cs="Arial"/>
          <w:szCs w:val="24"/>
        </w:rPr>
        <w:t>.</w:t>
      </w:r>
    </w:p>
    <w:p w:rsidR="00310B69" w:rsidRDefault="00310B69" w:rsidP="00780429">
      <w:pPr>
        <w:pStyle w:val="BodyTextIndent"/>
        <w:ind w:right="-270" w:hanging="720"/>
        <w:jc w:val="both"/>
        <w:rPr>
          <w:rFonts w:ascii="Arial" w:hAnsi="Arial" w:cs="Arial"/>
          <w:szCs w:val="24"/>
        </w:rPr>
      </w:pPr>
    </w:p>
    <w:p w:rsidR="00A93AD5" w:rsidRPr="00A93AD5" w:rsidRDefault="00310B69" w:rsidP="00A93AD5">
      <w:pPr>
        <w:pStyle w:val="BodyTextIndent"/>
        <w:ind w:right="-270" w:hanging="720"/>
        <w:jc w:val="both"/>
        <w:rPr>
          <w:rFonts w:ascii="Arial" w:hAnsi="Arial" w:cs="Arial"/>
          <w:szCs w:val="24"/>
        </w:rPr>
      </w:pPr>
      <w:r>
        <w:rPr>
          <w:rFonts w:ascii="Arial" w:hAnsi="Arial" w:cs="Arial"/>
          <w:szCs w:val="24"/>
        </w:rPr>
        <w:t>1.2</w:t>
      </w:r>
      <w:r>
        <w:rPr>
          <w:rFonts w:ascii="Arial" w:hAnsi="Arial" w:cs="Arial"/>
          <w:szCs w:val="24"/>
        </w:rPr>
        <w:tab/>
        <w:t xml:space="preserve">The </w:t>
      </w:r>
      <w:r w:rsidR="00A93AD5" w:rsidRPr="00A93AD5">
        <w:rPr>
          <w:rFonts w:ascii="Arial" w:hAnsi="Arial" w:cs="Arial"/>
          <w:szCs w:val="24"/>
        </w:rPr>
        <w:t>proposed Internal Audit Plan (Plan) for the period 1 J</w:t>
      </w:r>
      <w:r w:rsidR="00A93AD5">
        <w:rPr>
          <w:rFonts w:ascii="Arial" w:hAnsi="Arial" w:cs="Arial"/>
          <w:szCs w:val="24"/>
        </w:rPr>
        <w:t>uly</w:t>
      </w:r>
      <w:r w:rsidR="00A93AD5" w:rsidRPr="00A93AD5">
        <w:rPr>
          <w:rFonts w:ascii="Arial" w:hAnsi="Arial" w:cs="Arial"/>
          <w:szCs w:val="24"/>
        </w:rPr>
        <w:t xml:space="preserve"> – 3</w:t>
      </w:r>
      <w:r w:rsidR="00A93AD5">
        <w:rPr>
          <w:rFonts w:ascii="Arial" w:hAnsi="Arial" w:cs="Arial"/>
          <w:szCs w:val="24"/>
        </w:rPr>
        <w:t>0</w:t>
      </w:r>
      <w:r w:rsidR="00A93AD5" w:rsidRPr="00A93AD5">
        <w:rPr>
          <w:rFonts w:ascii="Arial" w:hAnsi="Arial" w:cs="Arial"/>
          <w:szCs w:val="24"/>
        </w:rPr>
        <w:t xml:space="preserve"> </w:t>
      </w:r>
      <w:r w:rsidR="00A93AD5">
        <w:rPr>
          <w:rFonts w:ascii="Arial" w:hAnsi="Arial" w:cs="Arial"/>
          <w:szCs w:val="24"/>
        </w:rPr>
        <w:t>September</w:t>
      </w:r>
      <w:r w:rsidR="00A93AD5" w:rsidRPr="00A93AD5">
        <w:rPr>
          <w:rFonts w:ascii="Arial" w:hAnsi="Arial" w:cs="Arial"/>
          <w:szCs w:val="24"/>
        </w:rPr>
        <w:t xml:space="preserve"> 2021 is enclosed as Table 1 for approval.</w:t>
      </w:r>
    </w:p>
    <w:p w:rsidR="00310B69" w:rsidRDefault="00310B69" w:rsidP="00780429">
      <w:pPr>
        <w:pStyle w:val="BodyTextIndent"/>
        <w:ind w:right="-270" w:hanging="720"/>
        <w:jc w:val="both"/>
        <w:rPr>
          <w:rFonts w:ascii="Arial" w:hAnsi="Arial" w:cs="Arial"/>
          <w:szCs w:val="24"/>
        </w:rPr>
      </w:pPr>
    </w:p>
    <w:p w:rsidR="006F454D" w:rsidRDefault="006F454D" w:rsidP="00780429">
      <w:pPr>
        <w:pStyle w:val="BodyTextIndent"/>
        <w:ind w:right="-270" w:hanging="720"/>
        <w:jc w:val="both"/>
        <w:rPr>
          <w:rFonts w:ascii="Arial" w:hAnsi="Arial" w:cs="Arial"/>
          <w:szCs w:val="24"/>
        </w:rPr>
      </w:pPr>
    </w:p>
    <w:p w:rsidR="00C82946" w:rsidRPr="00526AD9" w:rsidRDefault="00A75B63" w:rsidP="00DA3469">
      <w:pPr>
        <w:pStyle w:val="Heading4"/>
        <w:ind w:right="-291"/>
        <w:jc w:val="both"/>
        <w:rPr>
          <w:rFonts w:ascii="Arial" w:hAnsi="Arial" w:cs="Arial"/>
          <w:b/>
          <w:szCs w:val="24"/>
          <w:u w:val="none"/>
        </w:rPr>
      </w:pPr>
      <w:r>
        <w:rPr>
          <w:rFonts w:ascii="Arial" w:hAnsi="Arial" w:cs="Arial"/>
          <w:b/>
          <w:szCs w:val="24"/>
          <w:u w:val="none"/>
        </w:rPr>
        <w:t>2</w:t>
      </w:r>
      <w:r>
        <w:rPr>
          <w:rFonts w:ascii="Arial" w:hAnsi="Arial" w:cs="Arial"/>
          <w:b/>
          <w:szCs w:val="24"/>
          <w:u w:val="none"/>
        </w:rPr>
        <w:tab/>
      </w:r>
      <w:r w:rsidR="00C82946" w:rsidRPr="00526AD9">
        <w:rPr>
          <w:rFonts w:ascii="Arial" w:hAnsi="Arial" w:cs="Arial"/>
          <w:b/>
          <w:szCs w:val="24"/>
          <w:u w:val="none"/>
        </w:rPr>
        <w:t>RECOMMENDATION</w:t>
      </w:r>
      <w:r w:rsidR="000E2279" w:rsidRPr="00526AD9">
        <w:rPr>
          <w:rFonts w:ascii="Arial" w:hAnsi="Arial" w:cs="Arial"/>
          <w:b/>
          <w:szCs w:val="24"/>
          <w:u w:val="none"/>
        </w:rPr>
        <w:t>S</w:t>
      </w:r>
    </w:p>
    <w:p w:rsidR="00C82946" w:rsidRPr="00304BD4" w:rsidRDefault="00C82946" w:rsidP="00DA3469">
      <w:pPr>
        <w:ind w:right="-291"/>
        <w:jc w:val="both"/>
        <w:rPr>
          <w:rFonts w:ascii="Arial" w:hAnsi="Arial" w:cs="Arial"/>
          <w:sz w:val="24"/>
          <w:szCs w:val="24"/>
        </w:rPr>
      </w:pPr>
    </w:p>
    <w:p w:rsidR="00F35D83" w:rsidRDefault="00C82946" w:rsidP="00425F33">
      <w:pPr>
        <w:pStyle w:val="BodyTextIndent"/>
        <w:numPr>
          <w:ilvl w:val="0"/>
          <w:numId w:val="8"/>
        </w:numPr>
        <w:ind w:right="-291"/>
        <w:jc w:val="both"/>
        <w:rPr>
          <w:rFonts w:ascii="Arial" w:hAnsi="Arial" w:cs="Arial"/>
          <w:szCs w:val="24"/>
        </w:rPr>
      </w:pPr>
      <w:r w:rsidRPr="0000639A">
        <w:rPr>
          <w:rFonts w:ascii="Arial" w:hAnsi="Arial" w:cs="Arial"/>
          <w:szCs w:val="24"/>
        </w:rPr>
        <w:t xml:space="preserve">That the </w:t>
      </w:r>
      <w:r w:rsidR="000E2279" w:rsidRPr="0000639A">
        <w:rPr>
          <w:rFonts w:ascii="Arial" w:hAnsi="Arial" w:cs="Arial"/>
          <w:szCs w:val="24"/>
        </w:rPr>
        <w:t>position statement detailing the progress made in achieving the Internal Audit Plan</w:t>
      </w:r>
      <w:r w:rsidR="00001295" w:rsidRPr="0000639A">
        <w:rPr>
          <w:rFonts w:ascii="Arial" w:hAnsi="Arial" w:cs="Arial"/>
          <w:szCs w:val="24"/>
        </w:rPr>
        <w:t xml:space="preserve"> </w:t>
      </w:r>
      <w:r w:rsidR="00A93AD5">
        <w:rPr>
          <w:rFonts w:ascii="Arial" w:hAnsi="Arial" w:cs="Arial"/>
          <w:szCs w:val="24"/>
        </w:rPr>
        <w:t xml:space="preserve">for </w:t>
      </w:r>
      <w:r w:rsidR="00310B69" w:rsidRPr="0000639A">
        <w:rPr>
          <w:rFonts w:ascii="Arial" w:hAnsi="Arial" w:cs="Arial"/>
          <w:szCs w:val="24"/>
        </w:rPr>
        <w:t xml:space="preserve">the period 1 </w:t>
      </w:r>
      <w:r w:rsidR="00A93AD5">
        <w:rPr>
          <w:rFonts w:ascii="Arial" w:hAnsi="Arial" w:cs="Arial"/>
          <w:szCs w:val="24"/>
        </w:rPr>
        <w:t>April</w:t>
      </w:r>
      <w:r w:rsidR="00310B69" w:rsidRPr="0000639A">
        <w:rPr>
          <w:rFonts w:ascii="Arial" w:hAnsi="Arial" w:cs="Arial"/>
          <w:szCs w:val="24"/>
        </w:rPr>
        <w:t xml:space="preserve"> – 3</w:t>
      </w:r>
      <w:r w:rsidR="00A93AD5">
        <w:rPr>
          <w:rFonts w:ascii="Arial" w:hAnsi="Arial" w:cs="Arial"/>
          <w:szCs w:val="24"/>
        </w:rPr>
        <w:t>0</w:t>
      </w:r>
      <w:r w:rsidR="00310B69" w:rsidRPr="0000639A">
        <w:rPr>
          <w:rFonts w:ascii="Arial" w:hAnsi="Arial" w:cs="Arial"/>
          <w:szCs w:val="24"/>
        </w:rPr>
        <w:t xml:space="preserve"> </w:t>
      </w:r>
      <w:r w:rsidR="00A93AD5">
        <w:rPr>
          <w:rFonts w:ascii="Arial" w:hAnsi="Arial" w:cs="Arial"/>
          <w:szCs w:val="24"/>
        </w:rPr>
        <w:t>June</w:t>
      </w:r>
      <w:r w:rsidR="00310B69" w:rsidRPr="0000639A">
        <w:rPr>
          <w:rFonts w:ascii="Arial" w:hAnsi="Arial" w:cs="Arial"/>
          <w:szCs w:val="24"/>
        </w:rPr>
        <w:t xml:space="preserve"> 202</w:t>
      </w:r>
      <w:r w:rsidR="00A93AD5">
        <w:rPr>
          <w:rFonts w:ascii="Arial" w:hAnsi="Arial" w:cs="Arial"/>
          <w:szCs w:val="24"/>
        </w:rPr>
        <w:t>1</w:t>
      </w:r>
      <w:r w:rsidR="0000639A" w:rsidRPr="0000639A">
        <w:rPr>
          <w:rFonts w:ascii="Arial" w:hAnsi="Arial" w:cs="Arial"/>
          <w:szCs w:val="24"/>
        </w:rPr>
        <w:t xml:space="preserve"> </w:t>
      </w:r>
      <w:r w:rsidR="00434865" w:rsidRPr="0000639A">
        <w:rPr>
          <w:rFonts w:ascii="Arial" w:hAnsi="Arial" w:cs="Arial"/>
          <w:szCs w:val="24"/>
        </w:rPr>
        <w:t>be</w:t>
      </w:r>
      <w:r w:rsidR="00001295" w:rsidRPr="0000639A">
        <w:rPr>
          <w:rFonts w:ascii="Arial" w:hAnsi="Arial" w:cs="Arial"/>
          <w:szCs w:val="24"/>
        </w:rPr>
        <w:t xml:space="preserve"> </w:t>
      </w:r>
      <w:r w:rsidR="00434865" w:rsidRPr="0000639A">
        <w:rPr>
          <w:rFonts w:ascii="Arial" w:hAnsi="Arial" w:cs="Arial"/>
          <w:szCs w:val="24"/>
        </w:rPr>
        <w:t>no</w:t>
      </w:r>
      <w:r w:rsidR="00001295" w:rsidRPr="0000639A">
        <w:rPr>
          <w:rFonts w:ascii="Arial" w:hAnsi="Arial" w:cs="Arial"/>
          <w:szCs w:val="24"/>
        </w:rPr>
        <w:t>ted</w:t>
      </w:r>
      <w:r w:rsidRPr="0000639A">
        <w:rPr>
          <w:rFonts w:ascii="Arial" w:hAnsi="Arial" w:cs="Arial"/>
          <w:szCs w:val="24"/>
        </w:rPr>
        <w:t>.</w:t>
      </w:r>
    </w:p>
    <w:p w:rsidR="00A93AD5" w:rsidRDefault="00A93AD5" w:rsidP="00A93AD5">
      <w:pPr>
        <w:pStyle w:val="BodyTextIndent"/>
        <w:ind w:left="1080" w:right="-291"/>
        <w:jc w:val="both"/>
        <w:rPr>
          <w:rFonts w:ascii="Arial" w:hAnsi="Arial" w:cs="Arial"/>
          <w:szCs w:val="24"/>
        </w:rPr>
      </w:pPr>
    </w:p>
    <w:p w:rsidR="00A93AD5" w:rsidRPr="0000639A" w:rsidRDefault="00A93AD5" w:rsidP="00425F33">
      <w:pPr>
        <w:pStyle w:val="BodyTextIndent"/>
        <w:numPr>
          <w:ilvl w:val="0"/>
          <w:numId w:val="8"/>
        </w:numPr>
        <w:ind w:right="-291"/>
        <w:jc w:val="both"/>
        <w:rPr>
          <w:rFonts w:ascii="Arial" w:hAnsi="Arial" w:cs="Arial"/>
          <w:szCs w:val="24"/>
        </w:rPr>
      </w:pPr>
      <w:r>
        <w:rPr>
          <w:rFonts w:ascii="Arial" w:hAnsi="Arial" w:cs="Arial"/>
          <w:szCs w:val="24"/>
        </w:rPr>
        <w:t>That the proposed Internal Audit Plan for the period 1 July – 30 September 2021 be approved</w:t>
      </w:r>
    </w:p>
    <w:p w:rsidR="004144FE" w:rsidRDefault="004144FE" w:rsidP="00DA3469">
      <w:pPr>
        <w:pStyle w:val="Heading4"/>
        <w:jc w:val="both"/>
        <w:rPr>
          <w:rFonts w:ascii="Arial" w:hAnsi="Arial" w:cs="Arial"/>
          <w:b/>
          <w:szCs w:val="24"/>
          <w:u w:val="none"/>
        </w:rPr>
      </w:pPr>
    </w:p>
    <w:p w:rsidR="00C82946" w:rsidRDefault="00A75B63" w:rsidP="00DA3469">
      <w:pPr>
        <w:pStyle w:val="Heading4"/>
        <w:jc w:val="both"/>
        <w:rPr>
          <w:rFonts w:ascii="Arial" w:hAnsi="Arial" w:cs="Arial"/>
          <w:b/>
          <w:szCs w:val="24"/>
          <w:u w:val="none"/>
        </w:rPr>
      </w:pPr>
      <w:r>
        <w:rPr>
          <w:rFonts w:ascii="Arial" w:hAnsi="Arial" w:cs="Arial"/>
          <w:b/>
          <w:szCs w:val="24"/>
          <w:u w:val="none"/>
        </w:rPr>
        <w:t>3</w:t>
      </w:r>
      <w:r>
        <w:rPr>
          <w:rFonts w:ascii="Arial" w:hAnsi="Arial" w:cs="Arial"/>
          <w:b/>
          <w:szCs w:val="24"/>
          <w:u w:val="none"/>
        </w:rPr>
        <w:tab/>
      </w:r>
      <w:r w:rsidR="00C82946" w:rsidRPr="00526AD9">
        <w:rPr>
          <w:rFonts w:ascii="Arial" w:hAnsi="Arial" w:cs="Arial"/>
          <w:b/>
          <w:szCs w:val="24"/>
          <w:u w:val="none"/>
        </w:rPr>
        <w:t>BACKGROUND</w:t>
      </w:r>
    </w:p>
    <w:p w:rsidR="0044388C" w:rsidRDefault="0044388C" w:rsidP="0044388C"/>
    <w:p w:rsidR="0044388C" w:rsidRPr="00434294" w:rsidRDefault="0044388C" w:rsidP="0044388C">
      <w:pPr>
        <w:rPr>
          <w:rFonts w:ascii="Arial" w:hAnsi="Arial" w:cs="Arial"/>
          <w:b/>
          <w:sz w:val="24"/>
          <w:szCs w:val="24"/>
          <w:u w:val="single"/>
        </w:rPr>
      </w:pPr>
      <w:r>
        <w:tab/>
      </w:r>
      <w:r w:rsidRPr="00434294">
        <w:rPr>
          <w:rFonts w:ascii="Arial" w:hAnsi="Arial" w:cs="Arial"/>
          <w:b/>
          <w:sz w:val="24"/>
          <w:szCs w:val="24"/>
          <w:u w:val="single"/>
        </w:rPr>
        <w:t>Progress Statement</w:t>
      </w:r>
    </w:p>
    <w:p w:rsidR="0036208E" w:rsidRPr="00526AD9" w:rsidRDefault="0036208E" w:rsidP="0036208E">
      <w:pPr>
        <w:rPr>
          <w:b/>
        </w:rPr>
      </w:pPr>
    </w:p>
    <w:p w:rsidR="00C82946" w:rsidRDefault="00C27099" w:rsidP="00A833F1">
      <w:pPr>
        <w:pStyle w:val="BodyTextIndent"/>
        <w:ind w:hanging="720"/>
        <w:jc w:val="both"/>
        <w:rPr>
          <w:rFonts w:ascii="Arial" w:hAnsi="Arial" w:cs="Arial"/>
          <w:szCs w:val="24"/>
        </w:rPr>
      </w:pPr>
      <w:r>
        <w:rPr>
          <w:rFonts w:ascii="Arial" w:hAnsi="Arial" w:cs="Arial"/>
          <w:szCs w:val="24"/>
        </w:rPr>
        <w:t>3.1</w:t>
      </w:r>
      <w:r>
        <w:rPr>
          <w:rFonts w:ascii="Arial" w:hAnsi="Arial" w:cs="Arial"/>
          <w:szCs w:val="24"/>
        </w:rPr>
        <w:tab/>
      </w:r>
      <w:r w:rsidR="00C81411">
        <w:rPr>
          <w:rFonts w:ascii="Arial" w:hAnsi="Arial" w:cs="Arial"/>
          <w:szCs w:val="24"/>
        </w:rPr>
        <w:t xml:space="preserve">Table 1 below </w:t>
      </w:r>
      <w:r w:rsidR="009B6377">
        <w:rPr>
          <w:rFonts w:ascii="Arial" w:hAnsi="Arial" w:cs="Arial"/>
          <w:szCs w:val="24"/>
        </w:rPr>
        <w:t>detail</w:t>
      </w:r>
      <w:r w:rsidR="00C81411">
        <w:rPr>
          <w:rFonts w:ascii="Arial" w:hAnsi="Arial" w:cs="Arial"/>
          <w:szCs w:val="24"/>
        </w:rPr>
        <w:t xml:space="preserve">s the progress made in delivering the Internal Audit Plan covering the period 1 </w:t>
      </w:r>
      <w:r w:rsidR="00D76E89">
        <w:rPr>
          <w:rFonts w:ascii="Arial" w:hAnsi="Arial" w:cs="Arial"/>
          <w:szCs w:val="24"/>
        </w:rPr>
        <w:t>April</w:t>
      </w:r>
      <w:r w:rsidR="00C81411">
        <w:rPr>
          <w:rFonts w:ascii="Arial" w:hAnsi="Arial" w:cs="Arial"/>
          <w:szCs w:val="24"/>
        </w:rPr>
        <w:t xml:space="preserve"> – 3</w:t>
      </w:r>
      <w:r w:rsidR="00D76E89">
        <w:rPr>
          <w:rFonts w:ascii="Arial" w:hAnsi="Arial" w:cs="Arial"/>
          <w:szCs w:val="24"/>
        </w:rPr>
        <w:t>0</w:t>
      </w:r>
      <w:r w:rsidR="00C81411">
        <w:rPr>
          <w:rFonts w:ascii="Arial" w:hAnsi="Arial" w:cs="Arial"/>
          <w:szCs w:val="24"/>
        </w:rPr>
        <w:t xml:space="preserve"> </w:t>
      </w:r>
      <w:r w:rsidR="00D76E89">
        <w:rPr>
          <w:rFonts w:ascii="Arial" w:hAnsi="Arial" w:cs="Arial"/>
          <w:szCs w:val="24"/>
        </w:rPr>
        <w:t>June</w:t>
      </w:r>
      <w:r w:rsidR="00C81411">
        <w:rPr>
          <w:rFonts w:ascii="Arial" w:hAnsi="Arial" w:cs="Arial"/>
          <w:szCs w:val="24"/>
        </w:rPr>
        <w:t xml:space="preserve"> 202</w:t>
      </w:r>
      <w:r w:rsidR="00D76E89">
        <w:rPr>
          <w:rFonts w:ascii="Arial" w:hAnsi="Arial" w:cs="Arial"/>
          <w:szCs w:val="24"/>
        </w:rPr>
        <w:t>1</w:t>
      </w:r>
      <w:r w:rsidR="00C81411">
        <w:rPr>
          <w:rFonts w:ascii="Arial" w:hAnsi="Arial" w:cs="Arial"/>
          <w:szCs w:val="24"/>
        </w:rPr>
        <w:t xml:space="preserve"> that was approved by the Governance and Standards Committee</w:t>
      </w:r>
      <w:r w:rsidR="005F66BE">
        <w:rPr>
          <w:rFonts w:ascii="Arial" w:hAnsi="Arial" w:cs="Arial"/>
          <w:szCs w:val="24"/>
        </w:rPr>
        <w:t xml:space="preserve"> </w:t>
      </w:r>
      <w:r w:rsidR="0014632D">
        <w:rPr>
          <w:rFonts w:ascii="Arial" w:hAnsi="Arial" w:cs="Arial"/>
          <w:szCs w:val="24"/>
        </w:rPr>
        <w:t xml:space="preserve">on </w:t>
      </w:r>
      <w:r w:rsidR="00F77D54">
        <w:rPr>
          <w:rFonts w:ascii="Arial" w:hAnsi="Arial" w:cs="Arial"/>
          <w:szCs w:val="24"/>
        </w:rPr>
        <w:t>17</w:t>
      </w:r>
      <w:r w:rsidR="0014632D">
        <w:rPr>
          <w:rFonts w:ascii="Arial" w:hAnsi="Arial" w:cs="Arial"/>
          <w:szCs w:val="24"/>
        </w:rPr>
        <w:t xml:space="preserve"> </w:t>
      </w:r>
      <w:r w:rsidR="00F77D54">
        <w:rPr>
          <w:rFonts w:ascii="Arial" w:hAnsi="Arial" w:cs="Arial"/>
          <w:szCs w:val="24"/>
        </w:rPr>
        <w:t>March</w:t>
      </w:r>
      <w:r w:rsidR="0014632D">
        <w:rPr>
          <w:rFonts w:ascii="Arial" w:hAnsi="Arial" w:cs="Arial"/>
          <w:szCs w:val="24"/>
        </w:rPr>
        <w:t xml:space="preserve"> 202</w:t>
      </w:r>
      <w:r w:rsidR="00F77D54">
        <w:rPr>
          <w:rFonts w:ascii="Arial" w:hAnsi="Arial" w:cs="Arial"/>
          <w:szCs w:val="24"/>
        </w:rPr>
        <w:t>1</w:t>
      </w:r>
      <w:r w:rsidR="00526AD9">
        <w:rPr>
          <w:rFonts w:ascii="Arial" w:hAnsi="Arial" w:cs="Arial"/>
          <w:szCs w:val="24"/>
        </w:rPr>
        <w:t>.</w:t>
      </w:r>
    </w:p>
    <w:p w:rsidR="0014632D" w:rsidRDefault="0014632D" w:rsidP="00A833F1">
      <w:pPr>
        <w:pStyle w:val="BodyTextIndent"/>
        <w:ind w:hanging="720"/>
        <w:jc w:val="both"/>
        <w:rPr>
          <w:rFonts w:ascii="Arial" w:hAnsi="Arial" w:cs="Arial"/>
          <w:szCs w:val="24"/>
        </w:rPr>
      </w:pPr>
    </w:p>
    <w:p w:rsidR="0014632D" w:rsidRDefault="0014632D" w:rsidP="00A833F1">
      <w:pPr>
        <w:pStyle w:val="BodyTextIndent"/>
        <w:ind w:hanging="720"/>
        <w:jc w:val="both"/>
        <w:rPr>
          <w:rFonts w:ascii="Arial" w:hAnsi="Arial" w:cs="Arial"/>
          <w:szCs w:val="24"/>
        </w:rPr>
      </w:pPr>
      <w:r>
        <w:rPr>
          <w:rFonts w:ascii="Arial" w:hAnsi="Arial" w:cs="Arial"/>
          <w:szCs w:val="24"/>
        </w:rPr>
        <w:t>3.2</w:t>
      </w:r>
      <w:r>
        <w:rPr>
          <w:rFonts w:ascii="Arial" w:hAnsi="Arial" w:cs="Arial"/>
          <w:szCs w:val="24"/>
        </w:rPr>
        <w:tab/>
        <w:t>The reasons for any significant variances between the planned and actual days spent on areas of audit activity are detailed in the “Notes” section of Table 1, along with proposed actions to address any shortfalls in delivery.</w:t>
      </w:r>
    </w:p>
    <w:p w:rsidR="00955953" w:rsidRDefault="00955953" w:rsidP="00A833F1">
      <w:pPr>
        <w:pStyle w:val="BodyTextIndent"/>
        <w:ind w:hanging="720"/>
        <w:jc w:val="both"/>
        <w:rPr>
          <w:rFonts w:ascii="Arial" w:hAnsi="Arial" w:cs="Arial"/>
          <w:szCs w:val="24"/>
        </w:rPr>
        <w:sectPr w:rsidR="00955953">
          <w:pgSz w:w="12240" w:h="15840"/>
          <w:pgMar w:top="1440" w:right="1800" w:bottom="1440" w:left="1800" w:header="720" w:footer="720" w:gutter="0"/>
          <w:cols w:space="720"/>
        </w:sectPr>
      </w:pPr>
    </w:p>
    <w:tbl>
      <w:tblPr>
        <w:tblW w:w="15941" w:type="dxa"/>
        <w:tblInd w:w="-679" w:type="dxa"/>
        <w:tblLayout w:type="fixed"/>
        <w:tblCellMar>
          <w:left w:w="30" w:type="dxa"/>
          <w:right w:w="30" w:type="dxa"/>
        </w:tblCellMar>
        <w:tblLook w:val="04A0" w:firstRow="1" w:lastRow="0" w:firstColumn="1" w:lastColumn="0" w:noHBand="0" w:noVBand="1"/>
      </w:tblPr>
      <w:tblGrid>
        <w:gridCol w:w="537"/>
        <w:gridCol w:w="4509"/>
        <w:gridCol w:w="1560"/>
        <w:gridCol w:w="1985"/>
        <w:gridCol w:w="1609"/>
        <w:gridCol w:w="3804"/>
        <w:gridCol w:w="1937"/>
      </w:tblGrid>
      <w:tr w:rsidR="00B8110D" w:rsidRPr="00421FAD" w:rsidTr="00477B94">
        <w:trPr>
          <w:trHeight w:val="209"/>
        </w:trPr>
        <w:tc>
          <w:tcPr>
            <w:tcW w:w="14004" w:type="dxa"/>
            <w:gridSpan w:val="6"/>
            <w:hideMark/>
          </w:tcPr>
          <w:p w:rsidR="00535860" w:rsidRDefault="00955953" w:rsidP="00535860">
            <w:pPr>
              <w:autoSpaceDE w:val="0"/>
              <w:autoSpaceDN w:val="0"/>
              <w:adjustRightInd w:val="0"/>
              <w:rPr>
                <w:rFonts w:ascii="Arial" w:hAnsi="Arial" w:cs="Arial"/>
                <w:color w:val="000000"/>
                <w:sz w:val="24"/>
                <w:szCs w:val="24"/>
                <w:lang w:eastAsia="en-GB"/>
              </w:rPr>
            </w:pPr>
            <w:r>
              <w:rPr>
                <w:rFonts w:ascii="Arial" w:hAnsi="Arial" w:cs="Arial"/>
                <w:b/>
                <w:color w:val="000000"/>
                <w:sz w:val="24"/>
                <w:szCs w:val="24"/>
                <w:u w:val="single"/>
                <w:lang w:eastAsia="en-GB"/>
              </w:rPr>
              <w:lastRenderedPageBreak/>
              <w:t>Ta</w:t>
            </w:r>
            <w:r w:rsidR="00535860">
              <w:rPr>
                <w:rFonts w:ascii="Arial" w:hAnsi="Arial" w:cs="Arial"/>
                <w:b/>
                <w:color w:val="000000"/>
                <w:sz w:val="24"/>
                <w:szCs w:val="24"/>
                <w:u w:val="single"/>
                <w:lang w:eastAsia="en-GB"/>
              </w:rPr>
              <w:t>ble 1: Delivery of Internal Audit Plan for 1 April – 30 June 2021 – Position Statement as at 7 June 2021</w:t>
            </w:r>
          </w:p>
          <w:p w:rsidR="00535860" w:rsidRPr="0079262B" w:rsidRDefault="00535860" w:rsidP="00535860">
            <w:pPr>
              <w:autoSpaceDE w:val="0"/>
              <w:autoSpaceDN w:val="0"/>
              <w:adjustRightInd w:val="0"/>
              <w:jc w:val="right"/>
              <w:rPr>
                <w:rFonts w:ascii="Arial" w:hAnsi="Arial" w:cs="Arial"/>
                <w:color w:val="000000"/>
                <w:sz w:val="24"/>
                <w:szCs w:val="24"/>
                <w:lang w:eastAsia="en-GB"/>
              </w:rPr>
            </w:pPr>
          </w:p>
          <w:tbl>
            <w:tblPr>
              <w:tblW w:w="13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4072"/>
              <w:gridCol w:w="5203"/>
              <w:gridCol w:w="1394"/>
              <w:gridCol w:w="1391"/>
            </w:tblGrid>
            <w:tr w:rsidR="00535860" w:rsidRPr="0079262B" w:rsidTr="008F37A1">
              <w:tc>
                <w:tcPr>
                  <w:tcW w:w="457"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Priority</w:t>
                  </w:r>
                </w:p>
              </w:tc>
              <w:tc>
                <w:tcPr>
                  <w:tcW w:w="1534"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Title</w:t>
                  </w:r>
                </w:p>
              </w:tc>
              <w:tc>
                <w:tcPr>
                  <w:tcW w:w="1960"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Key Areas: Assurance / Risk / Performance Validation</w:t>
                  </w:r>
                </w:p>
                <w:p w:rsidR="00535860" w:rsidRPr="0079262B" w:rsidRDefault="00535860" w:rsidP="00535860">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autoSpaceDE w:val="0"/>
                    <w:autoSpaceDN w:val="0"/>
                    <w:adjustRightInd w:val="0"/>
                    <w:jc w:val="center"/>
                    <w:rPr>
                      <w:rFonts w:ascii="Arial" w:hAnsi="Arial" w:cs="Arial"/>
                      <w:b/>
                      <w:color w:val="000000"/>
                      <w:sz w:val="24"/>
                      <w:szCs w:val="24"/>
                      <w:u w:val="single"/>
                      <w:lang w:eastAsia="en-GB"/>
                    </w:rPr>
                  </w:pPr>
                  <w:r>
                    <w:rPr>
                      <w:rFonts w:ascii="Arial" w:hAnsi="Arial" w:cs="Arial"/>
                      <w:b/>
                      <w:color w:val="000000"/>
                      <w:sz w:val="24"/>
                      <w:szCs w:val="24"/>
                      <w:u w:val="single"/>
                      <w:lang w:eastAsia="en-GB"/>
                    </w:rPr>
                    <w:t>Days Allocated</w:t>
                  </w:r>
                </w:p>
              </w:tc>
              <w:tc>
                <w:tcPr>
                  <w:tcW w:w="524" w:type="pct"/>
                  <w:tcBorders>
                    <w:top w:val="single" w:sz="4" w:space="0" w:color="auto"/>
                    <w:left w:val="single" w:sz="4" w:space="0" w:color="auto"/>
                    <w:bottom w:val="single" w:sz="4" w:space="0" w:color="auto"/>
                    <w:right w:val="single" w:sz="4" w:space="0" w:color="auto"/>
                  </w:tcBorders>
                </w:tcPr>
                <w:p w:rsidR="00535860" w:rsidRPr="0079262B" w:rsidRDefault="00535860" w:rsidP="00535860">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Days </w:t>
                  </w:r>
                  <w:r>
                    <w:rPr>
                      <w:rFonts w:ascii="Arial" w:hAnsi="Arial" w:cs="Arial"/>
                      <w:b/>
                      <w:color w:val="000000"/>
                      <w:sz w:val="24"/>
                      <w:szCs w:val="24"/>
                      <w:u w:val="single"/>
                      <w:lang w:eastAsia="en-GB"/>
                    </w:rPr>
                    <w:t>Spent</w:t>
                  </w:r>
                </w:p>
                <w:p w:rsidR="00535860" w:rsidRPr="0079262B" w:rsidRDefault="00535860" w:rsidP="00535860">
                  <w:pPr>
                    <w:autoSpaceDE w:val="0"/>
                    <w:autoSpaceDN w:val="0"/>
                    <w:adjustRightInd w:val="0"/>
                    <w:jc w:val="center"/>
                    <w:rPr>
                      <w:rFonts w:ascii="Arial" w:hAnsi="Arial" w:cs="Arial"/>
                      <w:b/>
                      <w:color w:val="000000"/>
                      <w:sz w:val="24"/>
                      <w:szCs w:val="24"/>
                      <w:u w:val="single"/>
                      <w:lang w:eastAsia="en-GB"/>
                    </w:rPr>
                  </w:pPr>
                </w:p>
              </w:tc>
            </w:tr>
            <w:tr w:rsidR="00535860" w:rsidRPr="0079262B" w:rsidTr="008F37A1">
              <w:tc>
                <w:tcPr>
                  <w:tcW w:w="457" w:type="pct"/>
                  <w:tcBorders>
                    <w:top w:val="single" w:sz="4" w:space="0" w:color="auto"/>
                    <w:left w:val="single" w:sz="4" w:space="0" w:color="auto"/>
                    <w:bottom w:val="single" w:sz="4" w:space="0" w:color="auto"/>
                    <w:right w:val="single" w:sz="4" w:space="0" w:color="auto"/>
                  </w:tcBorders>
                  <w:shd w:val="pct25" w:color="auto" w:fill="auto"/>
                </w:tcPr>
                <w:p w:rsidR="00535860" w:rsidRPr="0079262B" w:rsidRDefault="00535860" w:rsidP="00535860">
                  <w:pPr>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pct25" w:color="auto" w:fill="auto"/>
                </w:tcPr>
                <w:p w:rsidR="00535860" w:rsidRPr="0079262B" w:rsidRDefault="00535860" w:rsidP="00535860">
                  <w:pPr>
                    <w:autoSpaceDE w:val="0"/>
                    <w:autoSpaceDN w:val="0"/>
                    <w:adjustRightInd w:val="0"/>
                    <w:rPr>
                      <w:rFonts w:ascii="Arial" w:hAnsi="Arial" w:cs="Arial"/>
                      <w:b/>
                      <w:color w:val="000000"/>
                      <w:sz w:val="24"/>
                      <w:szCs w:val="24"/>
                      <w:u w:val="single"/>
                      <w:lang w:eastAsia="en-GB"/>
                    </w:rPr>
                  </w:pPr>
                </w:p>
                <w:p w:rsidR="00535860" w:rsidRPr="0079262B" w:rsidRDefault="00535860" w:rsidP="00535860">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Corporate Assurance </w:t>
                  </w:r>
                </w:p>
                <w:p w:rsidR="00535860" w:rsidRPr="0079262B" w:rsidRDefault="00535860" w:rsidP="00535860">
                  <w:pPr>
                    <w:autoSpaceDE w:val="0"/>
                    <w:autoSpaceDN w:val="0"/>
                    <w:adjustRightInd w:val="0"/>
                    <w:rPr>
                      <w:rFonts w:ascii="Arial" w:hAnsi="Arial" w:cs="Arial"/>
                      <w:color w:val="000000"/>
                      <w:sz w:val="24"/>
                      <w:szCs w:val="24"/>
                      <w:lang w:eastAsia="en-GB"/>
                    </w:rPr>
                  </w:pPr>
                </w:p>
              </w:tc>
            </w:tr>
            <w:tr w:rsidR="00535860" w:rsidRPr="0079262B" w:rsidTr="008F37A1">
              <w:tc>
                <w:tcPr>
                  <w:tcW w:w="457"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Corporate Risk &amp; Opportunity Management</w:t>
                  </w:r>
                </w:p>
              </w:tc>
              <w:tc>
                <w:tcPr>
                  <w:tcW w:w="1960" w:type="pct"/>
                  <w:tcBorders>
                    <w:top w:val="single" w:sz="4" w:space="0" w:color="auto"/>
                    <w:left w:val="single" w:sz="4" w:space="0" w:color="auto"/>
                    <w:bottom w:val="single" w:sz="4" w:space="0" w:color="auto"/>
                    <w:right w:val="single" w:sz="4" w:space="0" w:color="auto"/>
                  </w:tcBorders>
                </w:tcPr>
                <w:p w:rsidR="00535860" w:rsidRPr="0079262B" w:rsidRDefault="00535860" w:rsidP="00535860">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Review of the </w:t>
                  </w:r>
                  <w:r w:rsidRPr="0079262B">
                    <w:rPr>
                      <w:rFonts w:ascii="Arial" w:hAnsi="Arial" w:cs="Arial"/>
                      <w:color w:val="000000"/>
                      <w:sz w:val="24"/>
                      <w:szCs w:val="24"/>
                      <w:lang w:eastAsia="en-GB"/>
                    </w:rPr>
                    <w:t xml:space="preserve">Council’s Corporate Risk and Opportunity Management strategy </w:t>
                  </w:r>
                  <w:r>
                    <w:rPr>
                      <w:rFonts w:ascii="Arial" w:hAnsi="Arial" w:cs="Arial"/>
                      <w:color w:val="000000"/>
                      <w:sz w:val="24"/>
                      <w:szCs w:val="24"/>
                      <w:lang w:eastAsia="en-GB"/>
                    </w:rPr>
                    <w:t>and the Strategic Risks &amp; Opportunities Register</w:t>
                  </w:r>
                </w:p>
                <w:p w:rsidR="00535860" w:rsidRPr="0079262B" w:rsidRDefault="00535860" w:rsidP="00535860">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4.00</w:t>
                  </w:r>
                </w:p>
              </w:tc>
              <w:tc>
                <w:tcPr>
                  <w:tcW w:w="524" w:type="pct"/>
                  <w:tcBorders>
                    <w:top w:val="single" w:sz="4" w:space="0" w:color="auto"/>
                    <w:left w:val="single" w:sz="4" w:space="0" w:color="auto"/>
                    <w:bottom w:val="single" w:sz="4" w:space="0" w:color="auto"/>
                    <w:right w:val="single" w:sz="4" w:space="0" w:color="auto"/>
                  </w:tcBorders>
                  <w:hideMark/>
                </w:tcPr>
                <w:p w:rsidR="00535860"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t>
                  </w:r>
                </w:p>
                <w:p w:rsidR="00535860" w:rsidRPr="0079262B"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(Note 1)</w:t>
                  </w:r>
                </w:p>
              </w:tc>
            </w:tr>
            <w:tr w:rsidR="00535860" w:rsidRPr="0079262B" w:rsidTr="008F37A1">
              <w:tc>
                <w:tcPr>
                  <w:tcW w:w="457"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Procurement Arrangements</w:t>
                  </w:r>
                </w:p>
              </w:tc>
              <w:tc>
                <w:tcPr>
                  <w:tcW w:w="1960" w:type="pct"/>
                  <w:tcBorders>
                    <w:top w:val="single" w:sz="4" w:space="0" w:color="auto"/>
                    <w:left w:val="single" w:sz="4" w:space="0" w:color="auto"/>
                    <w:bottom w:val="single" w:sz="4" w:space="0" w:color="auto"/>
                    <w:right w:val="single" w:sz="4" w:space="0" w:color="auto"/>
                  </w:tcBorders>
                </w:tcPr>
                <w:p w:rsidR="00535860" w:rsidRPr="0079262B" w:rsidRDefault="00535860" w:rsidP="00535860">
                  <w:pPr>
                    <w:rPr>
                      <w:rFonts w:ascii="Arial" w:hAnsi="Arial" w:cs="Arial"/>
                      <w:color w:val="000000"/>
                      <w:sz w:val="24"/>
                      <w:szCs w:val="24"/>
                      <w:lang w:eastAsia="en-GB"/>
                    </w:rPr>
                  </w:pPr>
                  <w:r w:rsidRPr="0079262B">
                    <w:rPr>
                      <w:rFonts w:ascii="Arial" w:hAnsi="Arial" w:cs="Arial"/>
                      <w:color w:val="000000"/>
                      <w:sz w:val="24"/>
                      <w:szCs w:val="24"/>
                      <w:lang w:eastAsia="en-GB"/>
                    </w:rPr>
                    <w:t xml:space="preserve">Compliance with the Council’s Contract Procedure Rules and accompanying procurement guidance / effective delivery of client management arrangements in respect of the contract with Nottingham City’s Procurement Service / effective implementation of the Council’s Procurement Strategy </w:t>
                  </w:r>
                  <w:r>
                    <w:rPr>
                      <w:rFonts w:ascii="Arial" w:hAnsi="Arial" w:cs="Arial"/>
                      <w:color w:val="000000"/>
                      <w:sz w:val="24"/>
                      <w:szCs w:val="24"/>
                      <w:lang w:eastAsia="en-GB"/>
                    </w:rPr>
                    <w:t>/ delivery of training</w:t>
                  </w:r>
                </w:p>
                <w:p w:rsidR="00535860" w:rsidRPr="0079262B" w:rsidRDefault="00535860" w:rsidP="00535860">
                  <w:pPr>
                    <w:autoSpaceDE w:val="0"/>
                    <w:autoSpaceDN w:val="0"/>
                    <w:adjustRightInd w:val="0"/>
                    <w:rPr>
                      <w:rFonts w:ascii="Arial" w:hAnsi="Arial" w:cs="Arial"/>
                      <w:color w:val="000000"/>
                      <w:sz w:val="24"/>
                      <w:szCs w:val="24"/>
                      <w:lang w:eastAsia="en-GB"/>
                    </w:rPr>
                  </w:pPr>
                </w:p>
                <w:p w:rsidR="00535860" w:rsidRPr="0079262B" w:rsidRDefault="00535860" w:rsidP="00535860">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10.00</w:t>
                  </w:r>
                </w:p>
              </w:tc>
              <w:tc>
                <w:tcPr>
                  <w:tcW w:w="524" w:type="pct"/>
                  <w:tcBorders>
                    <w:top w:val="single" w:sz="4" w:space="0" w:color="auto"/>
                    <w:left w:val="single" w:sz="4" w:space="0" w:color="auto"/>
                    <w:bottom w:val="single" w:sz="4" w:space="0" w:color="auto"/>
                    <w:right w:val="single" w:sz="4" w:space="0" w:color="auto"/>
                  </w:tcBorders>
                  <w:hideMark/>
                </w:tcPr>
                <w:p w:rsidR="00535860"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3.00</w:t>
                  </w:r>
                </w:p>
                <w:p w:rsidR="00535860" w:rsidRPr="0079262B"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(Note 2)</w:t>
                  </w:r>
                </w:p>
              </w:tc>
            </w:tr>
            <w:tr w:rsidR="00535860" w:rsidRPr="0079262B" w:rsidTr="008F37A1">
              <w:tc>
                <w:tcPr>
                  <w:tcW w:w="457"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535860" w:rsidRDefault="00535860" w:rsidP="00535860">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Governance &amp; </w:t>
                  </w:r>
                  <w:r w:rsidR="006223B1">
                    <w:rPr>
                      <w:rFonts w:ascii="Arial" w:hAnsi="Arial" w:cs="Arial"/>
                      <w:color w:val="000000"/>
                      <w:sz w:val="24"/>
                      <w:szCs w:val="24"/>
                      <w:lang w:eastAsia="en-GB"/>
                    </w:rPr>
                    <w:t>Standards</w:t>
                  </w:r>
                  <w:r w:rsidRPr="0079262B">
                    <w:rPr>
                      <w:rFonts w:ascii="Arial" w:hAnsi="Arial" w:cs="Arial"/>
                      <w:color w:val="000000"/>
                      <w:sz w:val="24"/>
                      <w:szCs w:val="24"/>
                      <w:lang w:eastAsia="en-GB"/>
                    </w:rPr>
                    <w:t xml:space="preserve"> Committee Support &amp; Member Training</w:t>
                  </w:r>
                </w:p>
                <w:p w:rsidR="00535860" w:rsidRDefault="00535860" w:rsidP="00535860">
                  <w:pPr>
                    <w:autoSpaceDE w:val="0"/>
                    <w:autoSpaceDN w:val="0"/>
                    <w:adjustRightInd w:val="0"/>
                    <w:rPr>
                      <w:rFonts w:ascii="Arial" w:hAnsi="Arial" w:cs="Arial"/>
                      <w:color w:val="000000"/>
                      <w:sz w:val="24"/>
                      <w:szCs w:val="24"/>
                      <w:lang w:eastAsia="en-GB"/>
                    </w:rPr>
                  </w:pPr>
                </w:p>
                <w:p w:rsidR="00535860" w:rsidRPr="0079262B" w:rsidRDefault="00535860" w:rsidP="00535860">
                  <w:pPr>
                    <w:autoSpaceDE w:val="0"/>
                    <w:autoSpaceDN w:val="0"/>
                    <w:adjustRightInd w:val="0"/>
                    <w:rPr>
                      <w:rFonts w:ascii="Arial" w:hAnsi="Arial" w:cs="Arial"/>
                      <w:color w:val="000000"/>
                      <w:sz w:val="24"/>
                      <w:szCs w:val="24"/>
                      <w:lang w:eastAsia="en-GB"/>
                    </w:rPr>
                  </w:pPr>
                </w:p>
                <w:p w:rsidR="00535860" w:rsidRPr="0079262B" w:rsidRDefault="00535860" w:rsidP="00535860">
                  <w:pPr>
                    <w:autoSpaceDE w:val="0"/>
                    <w:autoSpaceDN w:val="0"/>
                    <w:adjustRightInd w:val="0"/>
                    <w:rPr>
                      <w:rFonts w:ascii="Arial" w:hAnsi="Arial" w:cs="Arial"/>
                      <w:color w:val="000000"/>
                      <w:sz w:val="24"/>
                      <w:szCs w:val="24"/>
                      <w:lang w:eastAsia="en-GB"/>
                    </w:rPr>
                  </w:pPr>
                </w:p>
                <w:p w:rsidR="00535860" w:rsidRPr="0079262B" w:rsidRDefault="00535860" w:rsidP="00535860">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hideMark/>
                </w:tcPr>
                <w:p w:rsidR="00535860" w:rsidRDefault="00535860" w:rsidP="00535860">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Reports for Committee / attendance at meetings, follow up of audit recommendations / training of members on relevant governance issues / responses to member questions </w:t>
                  </w:r>
                </w:p>
                <w:p w:rsidR="00535860" w:rsidRDefault="00535860" w:rsidP="00535860">
                  <w:pPr>
                    <w:autoSpaceDE w:val="0"/>
                    <w:autoSpaceDN w:val="0"/>
                    <w:adjustRightInd w:val="0"/>
                    <w:rPr>
                      <w:rFonts w:ascii="Arial" w:hAnsi="Arial" w:cs="Arial"/>
                      <w:color w:val="000000"/>
                      <w:sz w:val="24"/>
                      <w:szCs w:val="24"/>
                      <w:lang w:eastAsia="en-GB"/>
                    </w:rPr>
                  </w:pPr>
                </w:p>
                <w:p w:rsidR="00535860" w:rsidRDefault="00535860" w:rsidP="00535860">
                  <w:pPr>
                    <w:autoSpaceDE w:val="0"/>
                    <w:autoSpaceDN w:val="0"/>
                    <w:adjustRightInd w:val="0"/>
                    <w:rPr>
                      <w:rFonts w:ascii="Arial" w:hAnsi="Arial" w:cs="Arial"/>
                      <w:color w:val="000000"/>
                      <w:sz w:val="24"/>
                      <w:szCs w:val="24"/>
                      <w:lang w:eastAsia="en-GB"/>
                    </w:rPr>
                  </w:pPr>
                </w:p>
                <w:p w:rsidR="00535860" w:rsidRDefault="00535860" w:rsidP="00535860">
                  <w:pPr>
                    <w:autoSpaceDE w:val="0"/>
                    <w:autoSpaceDN w:val="0"/>
                    <w:adjustRightInd w:val="0"/>
                    <w:rPr>
                      <w:rFonts w:ascii="Arial" w:hAnsi="Arial" w:cs="Arial"/>
                      <w:color w:val="000000"/>
                      <w:sz w:val="24"/>
                      <w:szCs w:val="24"/>
                      <w:lang w:eastAsia="en-GB"/>
                    </w:rPr>
                  </w:pPr>
                </w:p>
                <w:p w:rsidR="00535860" w:rsidRPr="0079262B" w:rsidRDefault="00535860" w:rsidP="00535860">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3.00</w:t>
                  </w:r>
                  <w:r w:rsidRPr="0079262B">
                    <w:rPr>
                      <w:rFonts w:ascii="Arial" w:hAnsi="Arial" w:cs="Arial"/>
                      <w:color w:val="000000"/>
                      <w:sz w:val="24"/>
                      <w:szCs w:val="24"/>
                      <w:lang w:eastAsia="en-GB"/>
                    </w:rPr>
                    <w:t xml:space="preserve"> </w:t>
                  </w:r>
                </w:p>
              </w:tc>
              <w:tc>
                <w:tcPr>
                  <w:tcW w:w="524"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3.25</w:t>
                  </w:r>
                </w:p>
              </w:tc>
            </w:tr>
            <w:tr w:rsidR="00535860" w:rsidRPr="0079262B" w:rsidTr="008F37A1">
              <w:tc>
                <w:tcPr>
                  <w:tcW w:w="457" w:type="pct"/>
                  <w:tcBorders>
                    <w:top w:val="single" w:sz="4" w:space="0" w:color="auto"/>
                    <w:left w:val="single" w:sz="4" w:space="0" w:color="auto"/>
                    <w:bottom w:val="single" w:sz="4" w:space="0" w:color="auto"/>
                    <w:right w:val="single" w:sz="4" w:space="0" w:color="auto"/>
                  </w:tcBorders>
                </w:tcPr>
                <w:p w:rsidR="00535860" w:rsidRDefault="00535860" w:rsidP="00535860">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535860" w:rsidRDefault="00535860" w:rsidP="00535860">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Governance Reviews &amp; Assurance Framework </w:t>
                  </w:r>
                </w:p>
              </w:tc>
              <w:tc>
                <w:tcPr>
                  <w:tcW w:w="1960" w:type="pct"/>
                  <w:tcBorders>
                    <w:top w:val="single" w:sz="4" w:space="0" w:color="auto"/>
                    <w:left w:val="single" w:sz="4" w:space="0" w:color="auto"/>
                    <w:bottom w:val="single" w:sz="4" w:space="0" w:color="auto"/>
                    <w:right w:val="single" w:sz="4" w:space="0" w:color="auto"/>
                  </w:tcBorders>
                </w:tcPr>
                <w:p w:rsidR="00535860" w:rsidRDefault="00535860" w:rsidP="00535860">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Assessment of compliance with the Council’s Code of Corporate Governance / preparation of Annual Governance Statements / evaluation of the Council’s ethical governance arrangements  </w:t>
                  </w:r>
                </w:p>
                <w:p w:rsidR="00535860" w:rsidRDefault="00535860" w:rsidP="00535860">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tcPr>
                <w:p w:rsidR="00535860"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5.00</w:t>
                  </w:r>
                </w:p>
              </w:tc>
              <w:tc>
                <w:tcPr>
                  <w:tcW w:w="524" w:type="pct"/>
                  <w:tcBorders>
                    <w:top w:val="single" w:sz="4" w:space="0" w:color="auto"/>
                    <w:left w:val="single" w:sz="4" w:space="0" w:color="auto"/>
                    <w:bottom w:val="single" w:sz="4" w:space="0" w:color="auto"/>
                    <w:right w:val="single" w:sz="4" w:space="0" w:color="auto"/>
                  </w:tcBorders>
                </w:tcPr>
                <w:p w:rsidR="00535860"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5.50</w:t>
                  </w:r>
                </w:p>
              </w:tc>
            </w:tr>
            <w:tr w:rsidR="00535860" w:rsidRPr="0079262B" w:rsidTr="008F37A1">
              <w:tc>
                <w:tcPr>
                  <w:tcW w:w="457"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Counter Fraud </w:t>
                  </w:r>
                  <w:r>
                    <w:rPr>
                      <w:rFonts w:ascii="Arial" w:hAnsi="Arial" w:cs="Arial"/>
                      <w:color w:val="000000"/>
                      <w:sz w:val="24"/>
                      <w:szCs w:val="24"/>
                      <w:lang w:eastAsia="en-GB"/>
                    </w:rPr>
                    <w:t>Arrangements</w:t>
                  </w:r>
                  <w:r w:rsidRPr="0079262B">
                    <w:rPr>
                      <w:rFonts w:ascii="Arial" w:hAnsi="Arial" w:cs="Arial"/>
                      <w:color w:val="000000"/>
                      <w:sz w:val="24"/>
                      <w:szCs w:val="24"/>
                      <w:lang w:eastAsia="en-GB"/>
                    </w:rPr>
                    <w:t xml:space="preserve"> &amp; NFI</w:t>
                  </w:r>
                </w:p>
              </w:tc>
              <w:tc>
                <w:tcPr>
                  <w:tcW w:w="1960"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Assessment of the Council’s counter fraud arrangements / Development of Corporate Counter Fraud Plan / d</w:t>
                  </w:r>
                  <w:r w:rsidRPr="0079262B">
                    <w:rPr>
                      <w:rFonts w:ascii="Arial" w:hAnsi="Arial" w:cs="Arial"/>
                      <w:color w:val="000000"/>
                      <w:sz w:val="24"/>
                      <w:szCs w:val="24"/>
                      <w:lang w:eastAsia="en-GB"/>
                    </w:rPr>
                    <w:t>elivery of Internal Audit’s counter fraud testing programme which is linked to the Council’s Fraud Risk Register / key contact responsibilities for NFI</w:t>
                  </w:r>
                </w:p>
                <w:p w:rsidR="00535860" w:rsidRPr="0079262B" w:rsidRDefault="00535860" w:rsidP="00535860">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5.00</w:t>
                  </w:r>
                  <w:r w:rsidRPr="0079262B">
                    <w:rPr>
                      <w:rFonts w:ascii="Arial" w:hAnsi="Arial" w:cs="Arial"/>
                      <w:color w:val="000000"/>
                      <w:sz w:val="24"/>
                      <w:szCs w:val="24"/>
                      <w:lang w:eastAsia="en-GB"/>
                    </w:rPr>
                    <w:t xml:space="preserve"> </w:t>
                  </w:r>
                </w:p>
              </w:tc>
              <w:tc>
                <w:tcPr>
                  <w:tcW w:w="524" w:type="pct"/>
                  <w:tcBorders>
                    <w:top w:val="single" w:sz="4" w:space="0" w:color="auto"/>
                    <w:left w:val="single" w:sz="4" w:space="0" w:color="auto"/>
                    <w:bottom w:val="single" w:sz="4" w:space="0" w:color="auto"/>
                    <w:right w:val="single" w:sz="4" w:space="0" w:color="auto"/>
                  </w:tcBorders>
                  <w:hideMark/>
                </w:tcPr>
                <w:p w:rsidR="00535860"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1.50</w:t>
                  </w:r>
                </w:p>
                <w:p w:rsidR="00535860" w:rsidRPr="0079262B"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(Note 3)</w:t>
                  </w:r>
                </w:p>
              </w:tc>
            </w:tr>
            <w:tr w:rsidR="00535860" w:rsidRPr="0079262B" w:rsidTr="008F37A1">
              <w:tc>
                <w:tcPr>
                  <w:tcW w:w="45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5860" w:rsidRPr="0079262B" w:rsidRDefault="00535860" w:rsidP="00535860">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5860" w:rsidRPr="0079262B" w:rsidRDefault="00535860" w:rsidP="00535860">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p w:rsidR="00535860" w:rsidRPr="0079262B" w:rsidRDefault="00535860" w:rsidP="00535860">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t>Integrity of Management Information</w:t>
                  </w:r>
                </w:p>
                <w:p w:rsidR="00535860" w:rsidRPr="0079262B" w:rsidRDefault="00535860" w:rsidP="00535860">
                  <w:pPr>
                    <w:shd w:val="clear" w:color="auto" w:fill="BFBFBF" w:themeFill="background1" w:themeFillShade="BF"/>
                    <w:autoSpaceDE w:val="0"/>
                    <w:autoSpaceDN w:val="0"/>
                    <w:adjustRightInd w:val="0"/>
                    <w:rPr>
                      <w:rFonts w:ascii="Arial" w:hAnsi="Arial" w:cs="Arial"/>
                      <w:color w:val="000000"/>
                      <w:sz w:val="24"/>
                      <w:szCs w:val="24"/>
                      <w:lang w:eastAsia="en-GB"/>
                    </w:rPr>
                  </w:pPr>
                </w:p>
              </w:tc>
            </w:tr>
            <w:tr w:rsidR="00535860" w:rsidRPr="0079262B" w:rsidTr="008F37A1">
              <w:tc>
                <w:tcPr>
                  <w:tcW w:w="457" w:type="pct"/>
                  <w:tcBorders>
                    <w:top w:val="single" w:sz="4" w:space="0" w:color="auto"/>
                    <w:left w:val="single" w:sz="4" w:space="0" w:color="auto"/>
                    <w:bottom w:val="single" w:sz="4" w:space="0" w:color="auto"/>
                    <w:right w:val="single" w:sz="4" w:space="0" w:color="auto"/>
                  </w:tcBorders>
                  <w:shd w:val="clear" w:color="auto" w:fill="auto"/>
                </w:tcPr>
                <w:p w:rsidR="00535860" w:rsidRDefault="00535860" w:rsidP="00535860">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535860" w:rsidRDefault="00535860" w:rsidP="00535860">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Housing Benefit Subsidy Claim</w:t>
                  </w:r>
                </w:p>
              </w:tc>
              <w:tc>
                <w:tcPr>
                  <w:tcW w:w="1960" w:type="pct"/>
                  <w:tcBorders>
                    <w:top w:val="single" w:sz="4" w:space="0" w:color="auto"/>
                    <w:left w:val="single" w:sz="4" w:space="0" w:color="auto"/>
                    <w:bottom w:val="single" w:sz="4" w:space="0" w:color="auto"/>
                    <w:right w:val="single" w:sz="4" w:space="0" w:color="auto"/>
                  </w:tcBorders>
                  <w:shd w:val="clear" w:color="auto" w:fill="auto"/>
                </w:tcPr>
                <w:p w:rsidR="00535860" w:rsidRDefault="00535860" w:rsidP="00535860">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Validation of key controls in Benefits system / transactional testing/ support to external claim auditors</w:t>
                  </w:r>
                </w:p>
                <w:p w:rsidR="00535860" w:rsidRDefault="00535860" w:rsidP="00535860">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535860" w:rsidRPr="00F014B5"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20.00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5860"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6.00</w:t>
                  </w:r>
                </w:p>
                <w:p w:rsidR="00535860" w:rsidRPr="00F014B5"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(Note 4)</w:t>
                  </w:r>
                </w:p>
              </w:tc>
            </w:tr>
            <w:tr w:rsidR="00535860" w:rsidRPr="0079262B" w:rsidTr="008F37A1">
              <w:tc>
                <w:tcPr>
                  <w:tcW w:w="457" w:type="pct"/>
                  <w:tcBorders>
                    <w:top w:val="single" w:sz="4" w:space="0" w:color="auto"/>
                    <w:left w:val="single" w:sz="4" w:space="0" w:color="auto"/>
                    <w:bottom w:val="single" w:sz="4" w:space="0" w:color="auto"/>
                    <w:right w:val="single" w:sz="4" w:space="0" w:color="auto"/>
                  </w:tcBorders>
                  <w:shd w:val="pct25" w:color="auto" w:fill="auto"/>
                </w:tcPr>
                <w:p w:rsidR="00535860" w:rsidRPr="0079262B" w:rsidRDefault="00535860" w:rsidP="00535860">
                  <w:pPr>
                    <w:rPr>
                      <w:rFonts w:ascii="Arial" w:hAnsi="Arial" w:cs="Arial"/>
                      <w:sz w:val="24"/>
                      <w:szCs w:val="24"/>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pct25" w:color="auto" w:fill="auto"/>
                </w:tcPr>
                <w:p w:rsidR="00535860" w:rsidRPr="0079262B" w:rsidRDefault="00535860" w:rsidP="00535860">
                  <w:pPr>
                    <w:rPr>
                      <w:rFonts w:ascii="Arial" w:hAnsi="Arial" w:cs="Arial"/>
                      <w:sz w:val="24"/>
                      <w:szCs w:val="24"/>
                      <w:lang w:eastAsia="en-GB"/>
                    </w:rPr>
                  </w:pPr>
                </w:p>
                <w:p w:rsidR="00535860" w:rsidRPr="0079262B" w:rsidRDefault="00535860" w:rsidP="00535860">
                  <w:pPr>
                    <w:rPr>
                      <w:rFonts w:ascii="Arial" w:hAnsi="Arial" w:cs="Arial"/>
                      <w:sz w:val="24"/>
                      <w:szCs w:val="24"/>
                      <w:lang w:eastAsia="en-GB"/>
                    </w:rPr>
                  </w:pPr>
                  <w:r w:rsidRPr="0079262B">
                    <w:rPr>
                      <w:rFonts w:ascii="Arial" w:hAnsi="Arial" w:cs="Arial"/>
                      <w:b/>
                      <w:sz w:val="24"/>
                      <w:szCs w:val="24"/>
                      <w:u w:val="single"/>
                      <w:lang w:eastAsia="en-GB"/>
                    </w:rPr>
                    <w:t xml:space="preserve">Support &amp; Development </w:t>
                  </w:r>
                </w:p>
                <w:p w:rsidR="00535860" w:rsidRPr="0079262B" w:rsidRDefault="00535860" w:rsidP="00535860">
                  <w:pPr>
                    <w:rPr>
                      <w:rFonts w:ascii="Arial" w:hAnsi="Arial" w:cs="Arial"/>
                      <w:sz w:val="24"/>
                      <w:szCs w:val="24"/>
                      <w:lang w:eastAsia="en-GB"/>
                    </w:rPr>
                  </w:pPr>
                </w:p>
              </w:tc>
            </w:tr>
            <w:tr w:rsidR="00535860" w:rsidRPr="0079262B" w:rsidTr="008F37A1">
              <w:tc>
                <w:tcPr>
                  <w:tcW w:w="457"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autoSpaceDE w:val="0"/>
                    <w:autoSpaceDN w:val="0"/>
                    <w:adjustRightInd w:val="0"/>
                    <w:jc w:val="center"/>
                    <w:rPr>
                      <w:rFonts w:ascii="Arial" w:hAnsi="Arial" w:cs="Arial"/>
                      <w:color w:val="000000"/>
                      <w:sz w:val="24"/>
                      <w:szCs w:val="24"/>
                      <w:lang w:eastAsia="en-GB"/>
                    </w:rPr>
                  </w:pPr>
                  <w:r w:rsidRPr="0079262B">
                    <w:rPr>
                      <w:rFonts w:ascii="Arial" w:hAnsi="Arial" w:cs="Arial"/>
                      <w:color w:val="000000"/>
                      <w:sz w:val="24"/>
                      <w:szCs w:val="24"/>
                      <w:lang w:eastAsia="en-GB"/>
                    </w:rPr>
                    <w:t>-</w:t>
                  </w:r>
                </w:p>
              </w:tc>
              <w:tc>
                <w:tcPr>
                  <w:tcW w:w="1534" w:type="pct"/>
                  <w:tcBorders>
                    <w:top w:val="single" w:sz="4" w:space="0" w:color="auto"/>
                    <w:left w:val="single" w:sz="4" w:space="0" w:color="auto"/>
                    <w:bottom w:val="single" w:sz="4" w:space="0" w:color="auto"/>
                    <w:right w:val="single" w:sz="4" w:space="0" w:color="auto"/>
                  </w:tcBorders>
                </w:tcPr>
                <w:p w:rsidR="00535860" w:rsidRPr="0079262B" w:rsidRDefault="00535860" w:rsidP="00535860">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Covid-19 Related / </w:t>
                  </w:r>
                  <w:r w:rsidRPr="0079262B">
                    <w:rPr>
                      <w:rFonts w:ascii="Arial" w:hAnsi="Arial" w:cs="Arial"/>
                      <w:color w:val="000000"/>
                      <w:sz w:val="24"/>
                      <w:szCs w:val="24"/>
                      <w:lang w:eastAsia="en-GB"/>
                    </w:rPr>
                    <w:t>Consultancy &amp; Special Investigations</w:t>
                  </w:r>
                </w:p>
                <w:p w:rsidR="00535860" w:rsidRPr="0079262B" w:rsidRDefault="00535860" w:rsidP="00535860">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tcPr>
                <w:p w:rsidR="00535860" w:rsidRDefault="00535860" w:rsidP="00535860">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Support to management as required as part of Covid-19 recovery period / end of year close down / p</w:t>
                  </w:r>
                  <w:r w:rsidRPr="0079262B">
                    <w:rPr>
                      <w:rFonts w:ascii="Arial" w:hAnsi="Arial" w:cs="Arial"/>
                      <w:color w:val="000000"/>
                      <w:sz w:val="24"/>
                      <w:szCs w:val="24"/>
                      <w:lang w:eastAsia="en-GB"/>
                    </w:rPr>
                    <w:t>rofessional independent advice on audit / governance arrangements as required by Council Rules and Regulations or requested by management</w:t>
                  </w:r>
                </w:p>
                <w:p w:rsidR="00535860" w:rsidRDefault="00535860" w:rsidP="00535860">
                  <w:pPr>
                    <w:autoSpaceDE w:val="0"/>
                    <w:autoSpaceDN w:val="0"/>
                    <w:adjustRightInd w:val="0"/>
                    <w:rPr>
                      <w:rFonts w:ascii="Arial" w:hAnsi="Arial" w:cs="Arial"/>
                      <w:color w:val="000000"/>
                      <w:sz w:val="24"/>
                      <w:szCs w:val="24"/>
                      <w:lang w:eastAsia="en-GB"/>
                    </w:rPr>
                  </w:pPr>
                </w:p>
                <w:p w:rsidR="00535860" w:rsidRPr="0079262B" w:rsidRDefault="00535860" w:rsidP="00535860">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Completion of 2020/2021 planned reviews to inform the Corporate Assurance Manager’s opinion &amp; Annual Governance Statement </w:t>
                  </w:r>
                </w:p>
                <w:p w:rsidR="00535860" w:rsidRPr="0079262B" w:rsidRDefault="00535860" w:rsidP="00535860">
                  <w:pPr>
                    <w:autoSpaceDE w:val="0"/>
                    <w:autoSpaceDN w:val="0"/>
                    <w:adjustRightInd w:val="0"/>
                    <w:rPr>
                      <w:rFonts w:ascii="Arial" w:hAnsi="Arial" w:cs="Arial"/>
                      <w:color w:val="000000"/>
                      <w:sz w:val="24"/>
                      <w:szCs w:val="24"/>
                      <w:lang w:eastAsia="en-GB"/>
                    </w:rPr>
                  </w:pPr>
                </w:p>
                <w:p w:rsidR="00535860" w:rsidRPr="0079262B" w:rsidRDefault="00535860" w:rsidP="00535860">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Special investigations carried out into alleged instances of fraud / corruption or financial malpractice  </w:t>
                  </w:r>
                </w:p>
                <w:p w:rsidR="00535860" w:rsidRPr="0079262B" w:rsidRDefault="00535860" w:rsidP="00535860">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25.00</w:t>
                  </w:r>
                  <w:r w:rsidRPr="0079262B">
                    <w:rPr>
                      <w:rFonts w:ascii="Arial" w:hAnsi="Arial" w:cs="Arial"/>
                      <w:color w:val="000000"/>
                      <w:sz w:val="24"/>
                      <w:szCs w:val="24"/>
                      <w:lang w:eastAsia="en-GB"/>
                    </w:rPr>
                    <w:t xml:space="preserve"> </w:t>
                  </w:r>
                </w:p>
              </w:tc>
              <w:tc>
                <w:tcPr>
                  <w:tcW w:w="524" w:type="pct"/>
                  <w:tcBorders>
                    <w:top w:val="single" w:sz="4" w:space="0" w:color="auto"/>
                    <w:left w:val="single" w:sz="4" w:space="0" w:color="auto"/>
                    <w:bottom w:val="single" w:sz="4" w:space="0" w:color="auto"/>
                    <w:right w:val="single" w:sz="4" w:space="0" w:color="auto"/>
                  </w:tcBorders>
                  <w:hideMark/>
                </w:tcPr>
                <w:p w:rsidR="00535860" w:rsidRPr="0079262B" w:rsidRDefault="00535860" w:rsidP="00535860">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15.25</w:t>
                  </w:r>
                </w:p>
              </w:tc>
            </w:tr>
          </w:tbl>
          <w:p w:rsidR="00535860" w:rsidRDefault="00535860" w:rsidP="00535860">
            <w:pPr>
              <w:pStyle w:val="BodyTextIndent"/>
              <w:ind w:left="709" w:right="-270" w:hanging="709"/>
            </w:pPr>
          </w:p>
          <w:p w:rsidR="00477B94" w:rsidRDefault="00477B94" w:rsidP="00477B94">
            <w:pPr>
              <w:pStyle w:val="BodyTextIndent"/>
              <w:ind w:left="709" w:right="-270" w:hanging="709"/>
            </w:pPr>
          </w:p>
          <w:p w:rsidR="002427C2" w:rsidRDefault="002427C2" w:rsidP="002427C2">
            <w:pPr>
              <w:pStyle w:val="BodyTextIndent"/>
              <w:ind w:left="709" w:right="-270" w:hanging="709"/>
              <w:rPr>
                <w:rFonts w:ascii="Arial" w:hAnsi="Arial" w:cs="Arial"/>
              </w:rPr>
            </w:pPr>
            <w:r>
              <w:rPr>
                <w:rFonts w:ascii="Arial" w:hAnsi="Arial" w:cs="Arial"/>
                <w:u w:val="single"/>
              </w:rPr>
              <w:t>Notes</w:t>
            </w:r>
          </w:p>
          <w:p w:rsidR="002427C2" w:rsidRDefault="002427C2" w:rsidP="002427C2">
            <w:pPr>
              <w:pStyle w:val="BodyTextIndent"/>
              <w:ind w:left="709" w:right="-270" w:hanging="709"/>
              <w:rPr>
                <w:rFonts w:ascii="Arial" w:hAnsi="Arial" w:cs="Arial"/>
              </w:rPr>
            </w:pPr>
          </w:p>
          <w:tbl>
            <w:tblPr>
              <w:tblStyle w:val="TableGrid"/>
              <w:tblW w:w="0" w:type="auto"/>
              <w:tblInd w:w="709" w:type="dxa"/>
              <w:tblLayout w:type="fixed"/>
              <w:tblLook w:val="04A0" w:firstRow="1" w:lastRow="0" w:firstColumn="1" w:lastColumn="0" w:noHBand="0" w:noVBand="1"/>
            </w:tblPr>
            <w:tblGrid>
              <w:gridCol w:w="1271"/>
              <w:gridCol w:w="10970"/>
            </w:tblGrid>
            <w:tr w:rsidR="002427C2" w:rsidTr="002427C2">
              <w:tc>
                <w:tcPr>
                  <w:tcW w:w="1271" w:type="dxa"/>
                  <w:tcBorders>
                    <w:top w:val="single" w:sz="4" w:space="0" w:color="auto"/>
                    <w:left w:val="single" w:sz="4" w:space="0" w:color="auto"/>
                    <w:bottom w:val="single" w:sz="4" w:space="0" w:color="auto"/>
                    <w:right w:val="single" w:sz="4" w:space="0" w:color="auto"/>
                  </w:tcBorders>
                  <w:hideMark/>
                </w:tcPr>
                <w:p w:rsidR="002427C2" w:rsidRDefault="002427C2" w:rsidP="002427C2">
                  <w:pPr>
                    <w:pStyle w:val="BodyTextIndent"/>
                    <w:ind w:left="0" w:right="-270"/>
                    <w:jc w:val="center"/>
                    <w:rPr>
                      <w:rFonts w:ascii="Arial" w:hAnsi="Arial" w:cs="Arial"/>
                    </w:rPr>
                  </w:pPr>
                  <w:r>
                    <w:rPr>
                      <w:rFonts w:ascii="Arial" w:hAnsi="Arial" w:cs="Arial"/>
                    </w:rPr>
                    <w:t>No.</w:t>
                  </w:r>
                </w:p>
              </w:tc>
              <w:tc>
                <w:tcPr>
                  <w:tcW w:w="10970" w:type="dxa"/>
                  <w:tcBorders>
                    <w:top w:val="single" w:sz="4" w:space="0" w:color="auto"/>
                    <w:left w:val="single" w:sz="4" w:space="0" w:color="auto"/>
                    <w:bottom w:val="single" w:sz="4" w:space="0" w:color="auto"/>
                    <w:right w:val="single" w:sz="4" w:space="0" w:color="auto"/>
                  </w:tcBorders>
                  <w:hideMark/>
                </w:tcPr>
                <w:p w:rsidR="002427C2" w:rsidRDefault="002427C2" w:rsidP="002427C2">
                  <w:pPr>
                    <w:pStyle w:val="BodyTextIndent"/>
                    <w:ind w:left="0" w:right="-270"/>
                    <w:jc w:val="center"/>
                    <w:rPr>
                      <w:rFonts w:ascii="Arial" w:hAnsi="Arial" w:cs="Arial"/>
                    </w:rPr>
                  </w:pPr>
                  <w:r>
                    <w:rPr>
                      <w:rFonts w:ascii="Arial" w:hAnsi="Arial" w:cs="Arial"/>
                    </w:rPr>
                    <w:t>Reason for Significant Difference / Action to be Taken</w:t>
                  </w:r>
                </w:p>
                <w:p w:rsidR="002427C2" w:rsidRDefault="002427C2" w:rsidP="002427C2">
                  <w:pPr>
                    <w:pStyle w:val="BodyTextIndent"/>
                    <w:ind w:left="0" w:right="-270"/>
                    <w:jc w:val="center"/>
                    <w:rPr>
                      <w:rFonts w:ascii="Arial" w:hAnsi="Arial" w:cs="Arial"/>
                    </w:rPr>
                  </w:pPr>
                  <w:r>
                    <w:rPr>
                      <w:rFonts w:ascii="Arial" w:hAnsi="Arial" w:cs="Arial"/>
                    </w:rPr>
                    <w:t xml:space="preserve"> </w:t>
                  </w:r>
                </w:p>
              </w:tc>
            </w:tr>
            <w:tr w:rsidR="002427C2" w:rsidTr="002427C2">
              <w:tc>
                <w:tcPr>
                  <w:tcW w:w="1271" w:type="dxa"/>
                  <w:tcBorders>
                    <w:top w:val="single" w:sz="4" w:space="0" w:color="auto"/>
                    <w:left w:val="single" w:sz="4" w:space="0" w:color="auto"/>
                    <w:bottom w:val="single" w:sz="4" w:space="0" w:color="auto"/>
                    <w:right w:val="single" w:sz="4" w:space="0" w:color="auto"/>
                  </w:tcBorders>
                  <w:hideMark/>
                </w:tcPr>
                <w:p w:rsidR="002427C2" w:rsidRDefault="002427C2" w:rsidP="002427C2">
                  <w:pPr>
                    <w:pStyle w:val="BodyTextIndent"/>
                    <w:ind w:left="0" w:right="-270"/>
                    <w:jc w:val="center"/>
                    <w:rPr>
                      <w:rFonts w:ascii="Arial" w:hAnsi="Arial" w:cs="Arial"/>
                    </w:rPr>
                  </w:pPr>
                  <w:r>
                    <w:rPr>
                      <w:rFonts w:ascii="Arial" w:hAnsi="Arial" w:cs="Arial"/>
                    </w:rPr>
                    <w:t>1</w:t>
                  </w:r>
                </w:p>
              </w:tc>
              <w:tc>
                <w:tcPr>
                  <w:tcW w:w="10970" w:type="dxa"/>
                  <w:tcBorders>
                    <w:top w:val="single" w:sz="4" w:space="0" w:color="auto"/>
                    <w:left w:val="single" w:sz="4" w:space="0" w:color="auto"/>
                    <w:bottom w:val="single" w:sz="4" w:space="0" w:color="auto"/>
                    <w:right w:val="single" w:sz="4" w:space="0" w:color="auto"/>
                  </w:tcBorders>
                </w:tcPr>
                <w:p w:rsidR="002427C2" w:rsidRDefault="00535860" w:rsidP="005A5FE8">
                  <w:pPr>
                    <w:pStyle w:val="BodyTextIndent"/>
                    <w:ind w:left="0" w:right="-134"/>
                    <w:rPr>
                      <w:rFonts w:ascii="Arial" w:hAnsi="Arial" w:cs="Arial"/>
                    </w:rPr>
                  </w:pPr>
                  <w:r>
                    <w:rPr>
                      <w:rFonts w:ascii="Arial" w:hAnsi="Arial" w:cs="Arial"/>
                    </w:rPr>
                    <w:t>This allocation will be used during the period 14 – 30 June 2021 to carry out a r</w:t>
                  </w:r>
                  <w:r w:rsidRPr="00535860">
                    <w:rPr>
                      <w:rFonts w:ascii="Arial" w:hAnsi="Arial" w:cs="Arial"/>
                    </w:rPr>
                    <w:t xml:space="preserve">eview of the Council’s Corporate Risk and Opportunity Management </w:t>
                  </w:r>
                  <w:r>
                    <w:rPr>
                      <w:rFonts w:ascii="Arial" w:hAnsi="Arial" w:cs="Arial"/>
                    </w:rPr>
                    <w:t>S</w:t>
                  </w:r>
                  <w:r w:rsidRPr="00535860">
                    <w:rPr>
                      <w:rFonts w:ascii="Arial" w:hAnsi="Arial" w:cs="Arial"/>
                    </w:rPr>
                    <w:t>trategy and the Strategic Risks &amp; Opportunities Register</w:t>
                  </w:r>
                  <w:r>
                    <w:rPr>
                      <w:rFonts w:ascii="Arial" w:hAnsi="Arial" w:cs="Arial"/>
                    </w:rPr>
                    <w:t xml:space="preserve"> with a report to the Governance and Standards Committee on 14 July 2021</w:t>
                  </w:r>
                </w:p>
                <w:p w:rsidR="005A5FE8" w:rsidRDefault="005A5FE8" w:rsidP="005A5FE8">
                  <w:pPr>
                    <w:pStyle w:val="BodyTextIndent"/>
                    <w:ind w:left="0" w:right="-134"/>
                    <w:rPr>
                      <w:rFonts w:ascii="Arial" w:hAnsi="Arial" w:cs="Arial"/>
                    </w:rPr>
                  </w:pPr>
                </w:p>
              </w:tc>
            </w:tr>
            <w:tr w:rsidR="002427C2" w:rsidTr="002427C2">
              <w:tc>
                <w:tcPr>
                  <w:tcW w:w="1271" w:type="dxa"/>
                  <w:tcBorders>
                    <w:top w:val="single" w:sz="4" w:space="0" w:color="auto"/>
                    <w:left w:val="single" w:sz="4" w:space="0" w:color="auto"/>
                    <w:bottom w:val="single" w:sz="4" w:space="0" w:color="auto"/>
                    <w:right w:val="single" w:sz="4" w:space="0" w:color="auto"/>
                  </w:tcBorders>
                </w:tcPr>
                <w:p w:rsidR="002427C2" w:rsidRDefault="005D7F65" w:rsidP="002427C2">
                  <w:pPr>
                    <w:pStyle w:val="BodyTextIndent"/>
                    <w:ind w:left="0" w:right="-270"/>
                    <w:jc w:val="center"/>
                    <w:rPr>
                      <w:rFonts w:ascii="Arial" w:hAnsi="Arial" w:cs="Arial"/>
                    </w:rPr>
                  </w:pPr>
                  <w:r>
                    <w:rPr>
                      <w:rFonts w:ascii="Arial" w:hAnsi="Arial" w:cs="Arial"/>
                    </w:rPr>
                    <w:t>2</w:t>
                  </w:r>
                </w:p>
              </w:tc>
              <w:tc>
                <w:tcPr>
                  <w:tcW w:w="10970" w:type="dxa"/>
                  <w:tcBorders>
                    <w:top w:val="single" w:sz="4" w:space="0" w:color="auto"/>
                    <w:left w:val="single" w:sz="4" w:space="0" w:color="auto"/>
                    <w:bottom w:val="single" w:sz="4" w:space="0" w:color="auto"/>
                    <w:right w:val="single" w:sz="4" w:space="0" w:color="auto"/>
                  </w:tcBorders>
                </w:tcPr>
                <w:p w:rsidR="000E08E0" w:rsidRDefault="004C52F0" w:rsidP="005D7F65">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This allocation will be fully used during the period 7 – 30 June finalising the review of the Council’s Contract Procedure Rules (CPRs) with the revised CPRs being presented to the Governance &amp; Standards Committee on 14 July 2021 </w:t>
                  </w:r>
                </w:p>
                <w:p w:rsidR="002427C2" w:rsidRDefault="002427C2" w:rsidP="002427C2">
                  <w:pPr>
                    <w:pStyle w:val="BodyTextIndent"/>
                    <w:ind w:left="0" w:right="-270"/>
                    <w:rPr>
                      <w:rFonts w:ascii="Arial" w:hAnsi="Arial" w:cs="Arial"/>
                    </w:rPr>
                  </w:pPr>
                </w:p>
              </w:tc>
            </w:tr>
            <w:tr w:rsidR="002427C2" w:rsidTr="002427C2">
              <w:tc>
                <w:tcPr>
                  <w:tcW w:w="1271" w:type="dxa"/>
                  <w:tcBorders>
                    <w:top w:val="single" w:sz="4" w:space="0" w:color="auto"/>
                    <w:left w:val="single" w:sz="4" w:space="0" w:color="auto"/>
                    <w:bottom w:val="single" w:sz="4" w:space="0" w:color="auto"/>
                    <w:right w:val="single" w:sz="4" w:space="0" w:color="auto"/>
                  </w:tcBorders>
                </w:tcPr>
                <w:p w:rsidR="002427C2" w:rsidRDefault="005D7F65" w:rsidP="002427C2">
                  <w:pPr>
                    <w:pStyle w:val="BodyTextIndent"/>
                    <w:ind w:left="0" w:right="-270"/>
                    <w:jc w:val="center"/>
                    <w:rPr>
                      <w:rFonts w:ascii="Arial" w:hAnsi="Arial" w:cs="Arial"/>
                    </w:rPr>
                  </w:pPr>
                  <w:r>
                    <w:rPr>
                      <w:rFonts w:ascii="Arial" w:hAnsi="Arial" w:cs="Arial"/>
                    </w:rPr>
                    <w:t>3</w:t>
                  </w:r>
                </w:p>
              </w:tc>
              <w:tc>
                <w:tcPr>
                  <w:tcW w:w="10970" w:type="dxa"/>
                  <w:tcBorders>
                    <w:top w:val="single" w:sz="4" w:space="0" w:color="auto"/>
                    <w:left w:val="single" w:sz="4" w:space="0" w:color="auto"/>
                    <w:bottom w:val="single" w:sz="4" w:space="0" w:color="auto"/>
                    <w:right w:val="single" w:sz="4" w:space="0" w:color="auto"/>
                  </w:tcBorders>
                </w:tcPr>
                <w:p w:rsidR="002427C2" w:rsidRDefault="00BA02DC" w:rsidP="00BA02DC">
                  <w:pPr>
                    <w:autoSpaceDE w:val="0"/>
                    <w:autoSpaceDN w:val="0"/>
                    <w:adjustRightInd w:val="0"/>
                    <w:rPr>
                      <w:rFonts w:ascii="Arial" w:hAnsi="Arial" w:cs="Arial"/>
                      <w:sz w:val="24"/>
                      <w:szCs w:val="24"/>
                    </w:rPr>
                  </w:pPr>
                  <w:r w:rsidRPr="00BA02DC">
                    <w:rPr>
                      <w:rFonts w:ascii="Arial" w:hAnsi="Arial" w:cs="Arial"/>
                      <w:sz w:val="24"/>
                      <w:szCs w:val="24"/>
                    </w:rPr>
                    <w:t xml:space="preserve">This allocation will be fully </w:t>
                  </w:r>
                  <w:r>
                    <w:rPr>
                      <w:rFonts w:ascii="Arial" w:hAnsi="Arial" w:cs="Arial"/>
                      <w:sz w:val="24"/>
                      <w:szCs w:val="24"/>
                    </w:rPr>
                    <w:t>used during the period 7 – 30 June on the National Fraud Initiative and delivery of the approved Counter Fraud and Corruption Plan for 2021/2022</w:t>
                  </w:r>
                </w:p>
                <w:p w:rsidR="00BA02DC" w:rsidRPr="00BA02DC" w:rsidRDefault="00BA02DC" w:rsidP="00BA02DC">
                  <w:pPr>
                    <w:autoSpaceDE w:val="0"/>
                    <w:autoSpaceDN w:val="0"/>
                    <w:adjustRightInd w:val="0"/>
                    <w:rPr>
                      <w:rFonts w:ascii="Arial" w:hAnsi="Arial" w:cs="Arial"/>
                      <w:sz w:val="24"/>
                      <w:szCs w:val="24"/>
                    </w:rPr>
                  </w:pPr>
                </w:p>
              </w:tc>
            </w:tr>
            <w:tr w:rsidR="002427C2" w:rsidTr="002427C2">
              <w:tc>
                <w:tcPr>
                  <w:tcW w:w="1271" w:type="dxa"/>
                  <w:tcBorders>
                    <w:top w:val="single" w:sz="4" w:space="0" w:color="auto"/>
                    <w:left w:val="single" w:sz="4" w:space="0" w:color="auto"/>
                    <w:bottom w:val="single" w:sz="4" w:space="0" w:color="auto"/>
                    <w:right w:val="single" w:sz="4" w:space="0" w:color="auto"/>
                  </w:tcBorders>
                </w:tcPr>
                <w:p w:rsidR="002427C2" w:rsidRDefault="000E08E0" w:rsidP="002427C2">
                  <w:pPr>
                    <w:pStyle w:val="BodyTextIndent"/>
                    <w:ind w:left="0" w:right="-270"/>
                    <w:jc w:val="center"/>
                    <w:rPr>
                      <w:rFonts w:ascii="Arial" w:hAnsi="Arial" w:cs="Arial"/>
                    </w:rPr>
                  </w:pPr>
                  <w:r>
                    <w:rPr>
                      <w:rFonts w:ascii="Arial" w:hAnsi="Arial" w:cs="Arial"/>
                    </w:rPr>
                    <w:t>4</w:t>
                  </w:r>
                </w:p>
              </w:tc>
              <w:tc>
                <w:tcPr>
                  <w:tcW w:w="10970" w:type="dxa"/>
                  <w:tcBorders>
                    <w:top w:val="single" w:sz="4" w:space="0" w:color="auto"/>
                    <w:left w:val="single" w:sz="4" w:space="0" w:color="auto"/>
                    <w:bottom w:val="single" w:sz="4" w:space="0" w:color="auto"/>
                    <w:right w:val="single" w:sz="4" w:space="0" w:color="auto"/>
                  </w:tcBorders>
                </w:tcPr>
                <w:p w:rsidR="00A854F0" w:rsidRDefault="00882ADB" w:rsidP="00955953">
                  <w:pPr>
                    <w:pStyle w:val="BodyTextIndent"/>
                    <w:ind w:left="0" w:right="-270"/>
                    <w:rPr>
                      <w:rFonts w:ascii="Arial" w:hAnsi="Arial" w:cs="Arial"/>
                    </w:rPr>
                  </w:pPr>
                  <w:r>
                    <w:rPr>
                      <w:rFonts w:ascii="Arial" w:hAnsi="Arial" w:cs="Arial"/>
                    </w:rPr>
                    <w:t xml:space="preserve">This allocation will be used during the period 7 – 30 June progressing the validation work, with further days required in the next quarter of 2021/2022 to complete the internal exercise and support the external audit of the claim by KMPG </w:t>
                  </w:r>
                </w:p>
                <w:p w:rsidR="00955953" w:rsidRDefault="00955953" w:rsidP="00955953">
                  <w:pPr>
                    <w:pStyle w:val="BodyTextIndent"/>
                    <w:ind w:left="0" w:right="-270"/>
                    <w:rPr>
                      <w:rFonts w:ascii="Arial" w:hAnsi="Arial" w:cs="Arial"/>
                    </w:rPr>
                  </w:pPr>
                </w:p>
              </w:tc>
            </w:tr>
          </w:tbl>
          <w:p w:rsidR="0014632D" w:rsidRPr="0056185C" w:rsidRDefault="002427C2" w:rsidP="00BE4056">
            <w:pPr>
              <w:pStyle w:val="BodyTextIndent"/>
              <w:ind w:left="709" w:right="-270" w:hanging="709"/>
              <w:rPr>
                <w:rFonts w:ascii="Arial" w:hAnsi="Arial" w:cs="Arial"/>
                <w:bCs/>
                <w:color w:val="000000"/>
                <w:szCs w:val="24"/>
                <w:u w:val="single"/>
              </w:rPr>
            </w:pPr>
            <w:r>
              <w:rPr>
                <w:rFonts w:ascii="Arial" w:hAnsi="Arial" w:cs="Arial"/>
              </w:rPr>
              <w:t xml:space="preserve"> </w:t>
            </w:r>
          </w:p>
        </w:tc>
        <w:tc>
          <w:tcPr>
            <w:tcW w:w="1937" w:type="dxa"/>
          </w:tcPr>
          <w:p w:rsidR="00B8110D" w:rsidRPr="00421FAD" w:rsidRDefault="00B8110D" w:rsidP="00C348EE">
            <w:pPr>
              <w:autoSpaceDE w:val="0"/>
              <w:autoSpaceDN w:val="0"/>
              <w:adjustRightInd w:val="0"/>
              <w:jc w:val="center"/>
              <w:rPr>
                <w:rFonts w:ascii="Arial" w:hAnsi="Arial" w:cs="Arial"/>
                <w:b/>
                <w:bCs/>
                <w:color w:val="000000"/>
                <w:sz w:val="24"/>
                <w:szCs w:val="24"/>
                <w:u w:val="single"/>
              </w:rPr>
            </w:pPr>
          </w:p>
        </w:tc>
      </w:tr>
      <w:tr w:rsidR="00B8110D" w:rsidRPr="00421FAD" w:rsidTr="00477B94">
        <w:trPr>
          <w:trHeight w:val="209"/>
        </w:trPr>
        <w:tc>
          <w:tcPr>
            <w:tcW w:w="537" w:type="dxa"/>
          </w:tcPr>
          <w:p w:rsidR="00B8110D" w:rsidRPr="00421FAD" w:rsidRDefault="00B8110D">
            <w:pPr>
              <w:autoSpaceDE w:val="0"/>
              <w:autoSpaceDN w:val="0"/>
              <w:adjustRightInd w:val="0"/>
              <w:jc w:val="center"/>
              <w:rPr>
                <w:rFonts w:ascii="Arial" w:hAnsi="Arial" w:cs="Arial"/>
                <w:b/>
                <w:bCs/>
                <w:color w:val="000000"/>
                <w:sz w:val="24"/>
                <w:szCs w:val="24"/>
                <w:u w:val="single"/>
              </w:rPr>
            </w:pPr>
          </w:p>
        </w:tc>
        <w:tc>
          <w:tcPr>
            <w:tcW w:w="4509" w:type="dxa"/>
          </w:tcPr>
          <w:p w:rsidR="00B8110D" w:rsidRPr="00421FAD" w:rsidRDefault="00B8110D">
            <w:pPr>
              <w:autoSpaceDE w:val="0"/>
              <w:autoSpaceDN w:val="0"/>
              <w:adjustRightInd w:val="0"/>
              <w:jc w:val="center"/>
              <w:rPr>
                <w:rFonts w:ascii="Arial" w:hAnsi="Arial" w:cs="Arial"/>
                <w:b/>
                <w:bCs/>
                <w:color w:val="000000"/>
                <w:sz w:val="24"/>
                <w:szCs w:val="24"/>
                <w:u w:val="single"/>
              </w:rPr>
            </w:pPr>
          </w:p>
        </w:tc>
        <w:tc>
          <w:tcPr>
            <w:tcW w:w="1560" w:type="dxa"/>
          </w:tcPr>
          <w:p w:rsidR="00B8110D" w:rsidRPr="00421FAD" w:rsidRDefault="00B8110D">
            <w:pPr>
              <w:autoSpaceDE w:val="0"/>
              <w:autoSpaceDN w:val="0"/>
              <w:adjustRightInd w:val="0"/>
              <w:jc w:val="center"/>
              <w:rPr>
                <w:rFonts w:ascii="Arial" w:hAnsi="Arial" w:cs="Arial"/>
                <w:b/>
                <w:bCs/>
                <w:color w:val="000000"/>
                <w:sz w:val="24"/>
                <w:szCs w:val="24"/>
                <w:u w:val="single"/>
              </w:rPr>
            </w:pPr>
          </w:p>
        </w:tc>
        <w:tc>
          <w:tcPr>
            <w:tcW w:w="1985" w:type="dxa"/>
          </w:tcPr>
          <w:p w:rsidR="00B8110D" w:rsidRPr="00421FAD" w:rsidRDefault="00B8110D">
            <w:pPr>
              <w:autoSpaceDE w:val="0"/>
              <w:autoSpaceDN w:val="0"/>
              <w:adjustRightInd w:val="0"/>
              <w:jc w:val="center"/>
              <w:rPr>
                <w:rFonts w:ascii="Arial" w:hAnsi="Arial" w:cs="Arial"/>
                <w:b/>
                <w:bCs/>
                <w:color w:val="000000"/>
                <w:sz w:val="24"/>
                <w:szCs w:val="24"/>
                <w:u w:val="single"/>
              </w:rPr>
            </w:pPr>
          </w:p>
        </w:tc>
        <w:tc>
          <w:tcPr>
            <w:tcW w:w="1609" w:type="dxa"/>
          </w:tcPr>
          <w:p w:rsidR="00B8110D" w:rsidRPr="00421FAD" w:rsidRDefault="00B8110D">
            <w:pPr>
              <w:autoSpaceDE w:val="0"/>
              <w:autoSpaceDN w:val="0"/>
              <w:adjustRightInd w:val="0"/>
              <w:jc w:val="center"/>
              <w:rPr>
                <w:rFonts w:ascii="Arial" w:hAnsi="Arial" w:cs="Arial"/>
                <w:b/>
                <w:bCs/>
                <w:color w:val="000000"/>
                <w:sz w:val="24"/>
                <w:szCs w:val="24"/>
                <w:u w:val="single"/>
              </w:rPr>
            </w:pPr>
          </w:p>
        </w:tc>
        <w:tc>
          <w:tcPr>
            <w:tcW w:w="3804" w:type="dxa"/>
          </w:tcPr>
          <w:p w:rsidR="00B8110D" w:rsidRPr="00421FAD" w:rsidRDefault="00B8110D">
            <w:pPr>
              <w:autoSpaceDE w:val="0"/>
              <w:autoSpaceDN w:val="0"/>
              <w:adjustRightInd w:val="0"/>
              <w:jc w:val="center"/>
              <w:rPr>
                <w:rFonts w:ascii="Arial" w:hAnsi="Arial" w:cs="Arial"/>
                <w:b/>
                <w:bCs/>
                <w:color w:val="000000"/>
                <w:sz w:val="24"/>
                <w:szCs w:val="24"/>
                <w:u w:val="single"/>
              </w:rPr>
            </w:pPr>
          </w:p>
        </w:tc>
        <w:tc>
          <w:tcPr>
            <w:tcW w:w="1937" w:type="dxa"/>
          </w:tcPr>
          <w:p w:rsidR="00B8110D" w:rsidRPr="00421FAD" w:rsidRDefault="00B8110D">
            <w:pPr>
              <w:autoSpaceDE w:val="0"/>
              <w:autoSpaceDN w:val="0"/>
              <w:adjustRightInd w:val="0"/>
              <w:jc w:val="center"/>
              <w:rPr>
                <w:rFonts w:ascii="Arial" w:hAnsi="Arial" w:cs="Arial"/>
                <w:b/>
                <w:bCs/>
                <w:color w:val="000000"/>
                <w:sz w:val="24"/>
                <w:szCs w:val="24"/>
                <w:u w:val="single"/>
              </w:rPr>
            </w:pPr>
          </w:p>
        </w:tc>
      </w:tr>
    </w:tbl>
    <w:p w:rsidR="00C3636A" w:rsidRDefault="00C3636A" w:rsidP="00421FAD">
      <w:pPr>
        <w:ind w:left="-709"/>
        <w:rPr>
          <w:rFonts w:ascii="Arial" w:hAnsi="Arial" w:cs="Arial"/>
          <w:sz w:val="24"/>
          <w:szCs w:val="24"/>
        </w:rPr>
        <w:sectPr w:rsidR="00C3636A" w:rsidSect="009864B3">
          <w:pgSz w:w="15840" w:h="12240" w:orient="landscape"/>
          <w:pgMar w:top="1800" w:right="1440" w:bottom="1800" w:left="1440" w:header="720" w:footer="720" w:gutter="0"/>
          <w:cols w:space="720"/>
          <w:docGrid w:linePitch="272"/>
        </w:sectPr>
      </w:pPr>
    </w:p>
    <w:p w:rsidR="0044388C" w:rsidRPr="00434294" w:rsidRDefault="0044388C" w:rsidP="0044388C">
      <w:pPr>
        <w:pStyle w:val="BodyTextIndent"/>
        <w:ind w:left="709" w:right="-270" w:hanging="709"/>
        <w:rPr>
          <w:rFonts w:ascii="Arial" w:hAnsi="Arial" w:cs="Arial"/>
          <w:b/>
          <w:szCs w:val="24"/>
        </w:rPr>
      </w:pPr>
      <w:r>
        <w:rPr>
          <w:rFonts w:ascii="Arial" w:hAnsi="Arial" w:cs="Arial"/>
          <w:szCs w:val="24"/>
        </w:rPr>
        <w:tab/>
      </w:r>
      <w:r w:rsidRPr="00434294">
        <w:rPr>
          <w:rFonts w:ascii="Arial" w:hAnsi="Arial" w:cs="Arial"/>
          <w:b/>
          <w:szCs w:val="24"/>
          <w:u w:val="single"/>
        </w:rPr>
        <w:t>Proposed Internal Audit Plan</w:t>
      </w:r>
    </w:p>
    <w:p w:rsidR="0044388C" w:rsidRDefault="0044388C" w:rsidP="0044388C">
      <w:pPr>
        <w:pStyle w:val="BodyTextIndent"/>
        <w:ind w:left="709" w:right="-270" w:hanging="709"/>
        <w:rPr>
          <w:rFonts w:ascii="Arial" w:hAnsi="Arial" w:cs="Arial"/>
          <w:szCs w:val="24"/>
        </w:rPr>
      </w:pPr>
    </w:p>
    <w:p w:rsidR="0044388C" w:rsidRDefault="0044388C" w:rsidP="0044388C">
      <w:pPr>
        <w:pStyle w:val="BodyTextIndent"/>
        <w:ind w:left="709" w:right="-270" w:hanging="709"/>
        <w:rPr>
          <w:rFonts w:ascii="Arial" w:hAnsi="Arial" w:cs="Arial"/>
          <w:szCs w:val="24"/>
        </w:rPr>
      </w:pPr>
      <w:r>
        <w:rPr>
          <w:rFonts w:ascii="Arial" w:hAnsi="Arial" w:cs="Arial"/>
          <w:szCs w:val="24"/>
        </w:rPr>
        <w:t>3.</w:t>
      </w:r>
      <w:r w:rsidR="00434294">
        <w:rPr>
          <w:rFonts w:ascii="Arial" w:hAnsi="Arial" w:cs="Arial"/>
          <w:szCs w:val="24"/>
        </w:rPr>
        <w:t>3</w:t>
      </w:r>
      <w:r>
        <w:rPr>
          <w:rFonts w:ascii="Arial" w:hAnsi="Arial" w:cs="Arial"/>
          <w:szCs w:val="24"/>
        </w:rPr>
        <w:tab/>
        <w:t xml:space="preserve">The Plan detailed in Table 2 below has been compiled by the Corporate Assurance Manager in accordance with the approved Internal Audit Charter to ensure compliance with the Public Sector Internal Audit Standards. </w:t>
      </w:r>
    </w:p>
    <w:p w:rsidR="0044388C" w:rsidRDefault="0044388C" w:rsidP="0044388C">
      <w:pPr>
        <w:pStyle w:val="Default"/>
      </w:pPr>
    </w:p>
    <w:p w:rsidR="0044388C" w:rsidRDefault="0044388C" w:rsidP="0044388C">
      <w:pPr>
        <w:ind w:left="709" w:hanging="709"/>
        <w:rPr>
          <w:rFonts w:ascii="Arial" w:hAnsi="Arial" w:cs="Arial"/>
          <w:color w:val="000000"/>
          <w:sz w:val="24"/>
          <w:szCs w:val="24"/>
        </w:rPr>
      </w:pPr>
      <w:r>
        <w:rPr>
          <w:rFonts w:ascii="Arial" w:hAnsi="Arial" w:cs="Arial"/>
          <w:sz w:val="24"/>
          <w:szCs w:val="24"/>
        </w:rPr>
        <w:t>3.</w:t>
      </w:r>
      <w:r w:rsidR="00434294">
        <w:rPr>
          <w:rFonts w:ascii="Arial" w:hAnsi="Arial" w:cs="Arial"/>
          <w:sz w:val="24"/>
          <w:szCs w:val="24"/>
        </w:rPr>
        <w:t>4</w:t>
      </w:r>
      <w:r>
        <w:rPr>
          <w:rFonts w:ascii="Arial" w:hAnsi="Arial" w:cs="Arial"/>
          <w:sz w:val="24"/>
          <w:szCs w:val="24"/>
        </w:rPr>
        <w:tab/>
        <w:t xml:space="preserve">The Plan has been compiled using the flexible approach that was adopted during 2020/2021 and has </w:t>
      </w:r>
      <w:r>
        <w:rPr>
          <w:rFonts w:ascii="Arial" w:hAnsi="Arial" w:cs="Arial"/>
          <w:color w:val="000000"/>
          <w:sz w:val="24"/>
          <w:szCs w:val="24"/>
        </w:rPr>
        <w:t>been produced using the following supporting evidence:</w:t>
      </w:r>
    </w:p>
    <w:p w:rsidR="0044388C" w:rsidRDefault="0044388C" w:rsidP="0044388C">
      <w:pPr>
        <w:rPr>
          <w:rFonts w:ascii="Arial" w:hAnsi="Arial" w:cs="Arial"/>
          <w:color w:val="000000"/>
          <w:sz w:val="24"/>
          <w:szCs w:val="24"/>
        </w:rPr>
      </w:pPr>
    </w:p>
    <w:p w:rsidR="0044388C" w:rsidRDefault="0044388C" w:rsidP="0044388C">
      <w:pPr>
        <w:pStyle w:val="ListParagraph"/>
        <w:numPr>
          <w:ilvl w:val="0"/>
          <w:numId w:val="11"/>
        </w:numPr>
        <w:ind w:hanging="4"/>
        <w:rPr>
          <w:rFonts w:ascii="Arial" w:hAnsi="Arial" w:cs="Arial"/>
          <w:color w:val="000000"/>
          <w:sz w:val="24"/>
          <w:szCs w:val="24"/>
        </w:rPr>
      </w:pPr>
      <w:r>
        <w:rPr>
          <w:rFonts w:ascii="Arial" w:hAnsi="Arial" w:cs="Arial"/>
          <w:color w:val="000000"/>
          <w:sz w:val="24"/>
          <w:szCs w:val="24"/>
        </w:rPr>
        <w:t>Internal Audit’s risk assessment module as at June 2021</w:t>
      </w:r>
    </w:p>
    <w:p w:rsidR="0044388C" w:rsidRDefault="0044388C" w:rsidP="0044388C">
      <w:pPr>
        <w:pStyle w:val="ListParagraph"/>
        <w:numPr>
          <w:ilvl w:val="0"/>
          <w:numId w:val="11"/>
        </w:numPr>
        <w:ind w:hanging="4"/>
        <w:rPr>
          <w:rFonts w:ascii="Arial" w:hAnsi="Arial" w:cs="Arial"/>
          <w:color w:val="000000"/>
          <w:sz w:val="24"/>
          <w:szCs w:val="24"/>
        </w:rPr>
      </w:pPr>
      <w:r>
        <w:rPr>
          <w:rFonts w:ascii="Arial" w:hAnsi="Arial" w:cs="Arial"/>
          <w:color w:val="000000"/>
          <w:sz w:val="24"/>
          <w:szCs w:val="24"/>
        </w:rPr>
        <w:t>Assurance mapping of strategic risks</w:t>
      </w:r>
    </w:p>
    <w:p w:rsidR="0044388C" w:rsidRDefault="0044388C" w:rsidP="0044388C">
      <w:pPr>
        <w:pStyle w:val="ListParagraph"/>
        <w:numPr>
          <w:ilvl w:val="0"/>
          <w:numId w:val="11"/>
        </w:numPr>
        <w:ind w:hanging="4"/>
        <w:rPr>
          <w:rFonts w:ascii="Arial" w:hAnsi="Arial" w:cs="Arial"/>
          <w:color w:val="000000"/>
          <w:sz w:val="24"/>
          <w:szCs w:val="24"/>
        </w:rPr>
      </w:pPr>
      <w:r>
        <w:rPr>
          <w:rFonts w:ascii="Arial" w:hAnsi="Arial" w:cs="Arial"/>
          <w:color w:val="000000"/>
          <w:sz w:val="24"/>
          <w:szCs w:val="24"/>
        </w:rPr>
        <w:t>Consultation with the Corporate Leadership Team</w:t>
      </w:r>
    </w:p>
    <w:p w:rsidR="0044388C" w:rsidRDefault="0044388C" w:rsidP="0044388C">
      <w:pPr>
        <w:pStyle w:val="ListParagraph"/>
        <w:numPr>
          <w:ilvl w:val="0"/>
          <w:numId w:val="11"/>
        </w:numPr>
        <w:ind w:hanging="4"/>
        <w:rPr>
          <w:rFonts w:ascii="Arial" w:hAnsi="Arial" w:cs="Arial"/>
          <w:color w:val="000000"/>
          <w:sz w:val="24"/>
          <w:szCs w:val="24"/>
        </w:rPr>
      </w:pPr>
      <w:r>
        <w:rPr>
          <w:rFonts w:ascii="Arial" w:hAnsi="Arial" w:cs="Arial"/>
          <w:color w:val="000000"/>
          <w:sz w:val="24"/>
          <w:szCs w:val="24"/>
        </w:rPr>
        <w:t>External Audit’s Horizon Scanning report</w:t>
      </w:r>
    </w:p>
    <w:p w:rsidR="0044388C" w:rsidRDefault="0044388C" w:rsidP="0044388C">
      <w:pPr>
        <w:pStyle w:val="ListParagraph"/>
        <w:numPr>
          <w:ilvl w:val="0"/>
          <w:numId w:val="11"/>
        </w:numPr>
        <w:ind w:hanging="4"/>
        <w:rPr>
          <w:rFonts w:ascii="Arial" w:hAnsi="Arial" w:cs="Arial"/>
          <w:color w:val="000000"/>
          <w:sz w:val="24"/>
          <w:szCs w:val="24"/>
        </w:rPr>
      </w:pPr>
      <w:r>
        <w:rPr>
          <w:rFonts w:ascii="Arial" w:hAnsi="Arial" w:cs="Arial"/>
          <w:color w:val="000000"/>
          <w:sz w:val="24"/>
          <w:szCs w:val="24"/>
        </w:rPr>
        <w:t>Benchmarking of other authorities Audit Plans</w:t>
      </w:r>
    </w:p>
    <w:p w:rsidR="0044388C" w:rsidRDefault="0044388C" w:rsidP="0044388C">
      <w:pPr>
        <w:rPr>
          <w:rFonts w:ascii="Arial" w:hAnsi="Arial" w:cs="Arial"/>
          <w:sz w:val="24"/>
          <w:szCs w:val="24"/>
        </w:rPr>
      </w:pPr>
    </w:p>
    <w:p w:rsidR="0044388C" w:rsidRDefault="0044388C" w:rsidP="0044388C">
      <w:pPr>
        <w:ind w:left="720" w:hanging="720"/>
        <w:rPr>
          <w:rFonts w:ascii="Arial" w:hAnsi="Arial" w:cs="Arial"/>
          <w:sz w:val="24"/>
          <w:szCs w:val="24"/>
        </w:rPr>
      </w:pPr>
      <w:r>
        <w:rPr>
          <w:rFonts w:ascii="Arial" w:hAnsi="Arial" w:cs="Arial"/>
          <w:sz w:val="24"/>
          <w:szCs w:val="24"/>
        </w:rPr>
        <w:t>3.</w:t>
      </w:r>
      <w:r w:rsidR="00434294">
        <w:rPr>
          <w:rFonts w:ascii="Arial" w:hAnsi="Arial" w:cs="Arial"/>
          <w:sz w:val="24"/>
          <w:szCs w:val="24"/>
        </w:rPr>
        <w:t>5</w:t>
      </w:r>
      <w:r>
        <w:rPr>
          <w:rFonts w:ascii="Arial" w:hAnsi="Arial" w:cs="Arial"/>
          <w:sz w:val="24"/>
          <w:szCs w:val="24"/>
        </w:rPr>
        <w:tab/>
      </w:r>
      <w:r w:rsidR="00D03C6D">
        <w:rPr>
          <w:rFonts w:ascii="Arial" w:hAnsi="Arial" w:cs="Arial"/>
          <w:sz w:val="24"/>
          <w:szCs w:val="24"/>
        </w:rPr>
        <w:t>T</w:t>
      </w:r>
      <w:r>
        <w:rPr>
          <w:rFonts w:ascii="Arial" w:hAnsi="Arial" w:cs="Arial"/>
          <w:sz w:val="24"/>
          <w:szCs w:val="24"/>
        </w:rPr>
        <w:t>he focus of audit resources will continue to be on validation of the</w:t>
      </w:r>
      <w:r w:rsidR="00D03C6D">
        <w:rPr>
          <w:rFonts w:ascii="Arial" w:hAnsi="Arial" w:cs="Arial"/>
          <w:sz w:val="24"/>
          <w:szCs w:val="24"/>
        </w:rPr>
        <w:t xml:space="preserve"> latest tranche of Covid-19 business</w:t>
      </w:r>
      <w:r>
        <w:rPr>
          <w:rFonts w:ascii="Arial" w:hAnsi="Arial" w:cs="Arial"/>
          <w:sz w:val="24"/>
          <w:szCs w:val="24"/>
        </w:rPr>
        <w:t xml:space="preserve"> grants </w:t>
      </w:r>
      <w:r w:rsidR="00D03C6D">
        <w:rPr>
          <w:rFonts w:ascii="Arial" w:hAnsi="Arial" w:cs="Arial"/>
          <w:sz w:val="24"/>
          <w:szCs w:val="24"/>
        </w:rPr>
        <w:t>and finalisation of the annual validation of the Benefit Subsidy Claim.</w:t>
      </w:r>
    </w:p>
    <w:p w:rsidR="0044388C" w:rsidRDefault="0044388C" w:rsidP="0044388C">
      <w:pPr>
        <w:rPr>
          <w:rFonts w:ascii="Arial" w:hAnsi="Arial" w:cs="Arial"/>
          <w:sz w:val="24"/>
          <w:szCs w:val="24"/>
        </w:rPr>
      </w:pPr>
    </w:p>
    <w:p w:rsidR="00A2515A" w:rsidRDefault="00A2515A" w:rsidP="0044388C">
      <w:pPr>
        <w:ind w:left="720" w:hanging="720"/>
        <w:rPr>
          <w:rFonts w:ascii="Arial" w:hAnsi="Arial" w:cs="Arial"/>
          <w:color w:val="000000"/>
          <w:sz w:val="24"/>
          <w:szCs w:val="24"/>
        </w:rPr>
        <w:sectPr w:rsidR="00A2515A" w:rsidSect="00657DBF">
          <w:pgSz w:w="12240" w:h="15840"/>
          <w:pgMar w:top="1440" w:right="1800" w:bottom="1440" w:left="1800" w:header="720" w:footer="720" w:gutter="0"/>
          <w:cols w:space="720"/>
          <w:docGrid w:linePitch="272"/>
        </w:sectPr>
      </w:pPr>
    </w:p>
    <w:p w:rsidR="00A131DA" w:rsidRDefault="00A131DA" w:rsidP="00A131DA">
      <w:pPr>
        <w:autoSpaceDE w:val="0"/>
        <w:autoSpaceDN w:val="0"/>
        <w:adjustRightInd w:val="0"/>
        <w:rPr>
          <w:rFonts w:ascii="Arial" w:hAnsi="Arial" w:cs="Arial"/>
          <w:color w:val="000000"/>
          <w:sz w:val="24"/>
          <w:szCs w:val="24"/>
          <w:lang w:eastAsia="en-GB"/>
        </w:rPr>
      </w:pPr>
      <w:r>
        <w:rPr>
          <w:rFonts w:ascii="Arial" w:hAnsi="Arial" w:cs="Arial"/>
          <w:b/>
          <w:color w:val="000000"/>
          <w:sz w:val="24"/>
          <w:szCs w:val="24"/>
          <w:u w:val="single"/>
          <w:lang w:eastAsia="en-GB"/>
        </w:rPr>
        <w:t>Table 2: Proposed Internal Audit Plan for 1 July – 30 September 2021</w:t>
      </w:r>
    </w:p>
    <w:p w:rsidR="00A131DA" w:rsidRPr="0079262B" w:rsidRDefault="00A131DA" w:rsidP="00A131DA">
      <w:pPr>
        <w:autoSpaceDE w:val="0"/>
        <w:autoSpaceDN w:val="0"/>
        <w:adjustRightInd w:val="0"/>
        <w:jc w:val="right"/>
        <w:rPr>
          <w:rFonts w:ascii="Arial" w:hAnsi="Arial" w:cs="Arial"/>
          <w:color w:val="000000"/>
          <w:sz w:val="24"/>
          <w:szCs w:val="24"/>
          <w:lang w:eastAsia="en-GB"/>
        </w:rPr>
      </w:pPr>
    </w:p>
    <w:tbl>
      <w:tblPr>
        <w:tblW w:w="13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4072"/>
        <w:gridCol w:w="5203"/>
        <w:gridCol w:w="1394"/>
        <w:gridCol w:w="1391"/>
      </w:tblGrid>
      <w:tr w:rsidR="00A131DA" w:rsidRPr="0079262B" w:rsidTr="00A203CC">
        <w:tc>
          <w:tcPr>
            <w:tcW w:w="457"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Priority</w:t>
            </w:r>
          </w:p>
        </w:tc>
        <w:tc>
          <w:tcPr>
            <w:tcW w:w="1534"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Title</w:t>
            </w:r>
          </w:p>
        </w:tc>
        <w:tc>
          <w:tcPr>
            <w:tcW w:w="1960"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Key Areas: Assurance / Risk / Performance Validation</w:t>
            </w:r>
          </w:p>
          <w:p w:rsidR="00A131DA" w:rsidRPr="0079262B" w:rsidRDefault="00A131DA" w:rsidP="00A203CC">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Timing</w:t>
            </w:r>
          </w:p>
        </w:tc>
        <w:tc>
          <w:tcPr>
            <w:tcW w:w="524" w:type="pct"/>
            <w:tcBorders>
              <w:top w:val="single" w:sz="4" w:space="0" w:color="auto"/>
              <w:left w:val="single" w:sz="4" w:space="0" w:color="auto"/>
              <w:bottom w:val="single" w:sz="4" w:space="0" w:color="auto"/>
              <w:right w:val="single" w:sz="4" w:space="0" w:color="auto"/>
            </w:tcBorders>
          </w:tcPr>
          <w:p w:rsidR="00A131DA" w:rsidRPr="0079262B" w:rsidRDefault="00A131DA" w:rsidP="00A203CC">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Days Allocated</w:t>
            </w:r>
          </w:p>
          <w:p w:rsidR="00A131DA" w:rsidRPr="0079262B" w:rsidRDefault="00A131DA" w:rsidP="00A203CC">
            <w:pPr>
              <w:autoSpaceDE w:val="0"/>
              <w:autoSpaceDN w:val="0"/>
              <w:adjustRightInd w:val="0"/>
              <w:jc w:val="center"/>
              <w:rPr>
                <w:rFonts w:ascii="Arial" w:hAnsi="Arial" w:cs="Arial"/>
                <w:b/>
                <w:color w:val="000000"/>
                <w:sz w:val="24"/>
                <w:szCs w:val="24"/>
                <w:u w:val="single"/>
                <w:lang w:eastAsia="en-GB"/>
              </w:rPr>
            </w:pPr>
          </w:p>
        </w:tc>
      </w:tr>
      <w:tr w:rsidR="00A131DA" w:rsidRPr="0079262B" w:rsidTr="00A203CC">
        <w:tc>
          <w:tcPr>
            <w:tcW w:w="457" w:type="pct"/>
            <w:tcBorders>
              <w:top w:val="single" w:sz="4" w:space="0" w:color="auto"/>
              <w:left w:val="single" w:sz="4" w:space="0" w:color="auto"/>
              <w:bottom w:val="single" w:sz="4" w:space="0" w:color="auto"/>
              <w:right w:val="single" w:sz="4" w:space="0" w:color="auto"/>
            </w:tcBorders>
            <w:shd w:val="pct25" w:color="auto" w:fill="auto"/>
          </w:tcPr>
          <w:p w:rsidR="00A131DA" w:rsidRPr="0079262B" w:rsidRDefault="00A131DA" w:rsidP="00A203CC">
            <w:pPr>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pct25" w:color="auto" w:fill="auto"/>
          </w:tcPr>
          <w:p w:rsidR="00A131DA" w:rsidRPr="0079262B" w:rsidRDefault="00A131DA" w:rsidP="00A203CC">
            <w:pPr>
              <w:autoSpaceDE w:val="0"/>
              <w:autoSpaceDN w:val="0"/>
              <w:adjustRightInd w:val="0"/>
              <w:rPr>
                <w:rFonts w:ascii="Arial" w:hAnsi="Arial" w:cs="Arial"/>
                <w:b/>
                <w:color w:val="000000"/>
                <w:sz w:val="24"/>
                <w:szCs w:val="24"/>
                <w:u w:val="single"/>
                <w:lang w:eastAsia="en-GB"/>
              </w:rPr>
            </w:pPr>
          </w:p>
          <w:p w:rsidR="00A131DA" w:rsidRPr="0079262B" w:rsidRDefault="00A131DA" w:rsidP="00A203CC">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Corporate Assurance </w:t>
            </w:r>
          </w:p>
          <w:p w:rsidR="00A131DA" w:rsidRPr="0079262B" w:rsidRDefault="00A131DA" w:rsidP="00A203CC">
            <w:pPr>
              <w:autoSpaceDE w:val="0"/>
              <w:autoSpaceDN w:val="0"/>
              <w:adjustRightInd w:val="0"/>
              <w:rPr>
                <w:rFonts w:ascii="Arial" w:hAnsi="Arial" w:cs="Arial"/>
                <w:color w:val="000000"/>
                <w:sz w:val="24"/>
                <w:szCs w:val="24"/>
                <w:lang w:eastAsia="en-GB"/>
              </w:rPr>
            </w:pPr>
          </w:p>
        </w:tc>
      </w:tr>
      <w:tr w:rsidR="00A131DA" w:rsidRPr="0079262B" w:rsidTr="00A203CC">
        <w:tc>
          <w:tcPr>
            <w:tcW w:w="457"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Corporate Risk &amp; Opportunity Management</w:t>
            </w:r>
          </w:p>
        </w:tc>
        <w:tc>
          <w:tcPr>
            <w:tcW w:w="1960" w:type="pct"/>
            <w:tcBorders>
              <w:top w:val="single" w:sz="4" w:space="0" w:color="auto"/>
              <w:left w:val="single" w:sz="4" w:space="0" w:color="auto"/>
              <w:bottom w:val="single" w:sz="4" w:space="0" w:color="auto"/>
              <w:right w:val="single" w:sz="4" w:space="0" w:color="auto"/>
            </w:tcBorders>
          </w:tcPr>
          <w:p w:rsidR="00A131DA" w:rsidRPr="0079262B" w:rsidRDefault="00A131DA" w:rsidP="00A203CC">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Review of the </w:t>
            </w:r>
            <w:r w:rsidRPr="0079262B">
              <w:rPr>
                <w:rFonts w:ascii="Arial" w:hAnsi="Arial" w:cs="Arial"/>
                <w:color w:val="000000"/>
                <w:sz w:val="24"/>
                <w:szCs w:val="24"/>
                <w:lang w:eastAsia="en-GB"/>
              </w:rPr>
              <w:t xml:space="preserve">Council’s Corporate Risk and Opportunity Management strategy </w:t>
            </w:r>
            <w:r>
              <w:rPr>
                <w:rFonts w:ascii="Arial" w:hAnsi="Arial" w:cs="Arial"/>
                <w:color w:val="000000"/>
                <w:sz w:val="24"/>
                <w:szCs w:val="24"/>
                <w:lang w:eastAsia="en-GB"/>
              </w:rPr>
              <w:t>and the Strategic Risks &amp; Opportunities Register</w:t>
            </w:r>
          </w:p>
          <w:p w:rsidR="00A131DA" w:rsidRPr="0079262B" w:rsidRDefault="00A131DA" w:rsidP="00A203CC">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July 2021</w:t>
            </w:r>
          </w:p>
        </w:tc>
        <w:tc>
          <w:tcPr>
            <w:tcW w:w="524"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3</w:t>
            </w:r>
            <w:r w:rsidRPr="0079262B">
              <w:rPr>
                <w:rFonts w:ascii="Arial" w:hAnsi="Arial" w:cs="Arial"/>
                <w:color w:val="000000"/>
                <w:sz w:val="24"/>
                <w:szCs w:val="24"/>
                <w:lang w:eastAsia="en-GB"/>
              </w:rPr>
              <w:t>.00</w:t>
            </w:r>
          </w:p>
        </w:tc>
      </w:tr>
      <w:tr w:rsidR="00A131DA" w:rsidRPr="0079262B" w:rsidTr="00A203CC">
        <w:tc>
          <w:tcPr>
            <w:tcW w:w="457"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Procurement Arrangements</w:t>
            </w:r>
          </w:p>
        </w:tc>
        <w:tc>
          <w:tcPr>
            <w:tcW w:w="1960" w:type="pct"/>
            <w:tcBorders>
              <w:top w:val="single" w:sz="4" w:space="0" w:color="auto"/>
              <w:left w:val="single" w:sz="4" w:space="0" w:color="auto"/>
              <w:bottom w:val="single" w:sz="4" w:space="0" w:color="auto"/>
              <w:right w:val="single" w:sz="4" w:space="0" w:color="auto"/>
            </w:tcBorders>
          </w:tcPr>
          <w:p w:rsidR="00A131DA" w:rsidRPr="0079262B" w:rsidRDefault="00A131DA" w:rsidP="00A203CC">
            <w:pPr>
              <w:rPr>
                <w:rFonts w:ascii="Arial" w:hAnsi="Arial" w:cs="Arial"/>
                <w:color w:val="000000"/>
                <w:sz w:val="24"/>
                <w:szCs w:val="24"/>
                <w:lang w:eastAsia="en-GB"/>
              </w:rPr>
            </w:pPr>
            <w:r w:rsidRPr="0079262B">
              <w:rPr>
                <w:rFonts w:ascii="Arial" w:hAnsi="Arial" w:cs="Arial"/>
                <w:color w:val="000000"/>
                <w:sz w:val="24"/>
                <w:szCs w:val="24"/>
                <w:lang w:eastAsia="en-GB"/>
              </w:rPr>
              <w:t xml:space="preserve">Compliance with the Council’s Contract Procedure Rules / effective delivery of client management arrangements in respect of the contract with Nottingham City’s Procurement Service / effective implementation of the Council’s Procurement Strategy </w:t>
            </w:r>
            <w:r>
              <w:rPr>
                <w:rFonts w:ascii="Arial" w:hAnsi="Arial" w:cs="Arial"/>
                <w:color w:val="000000"/>
                <w:sz w:val="24"/>
                <w:szCs w:val="24"/>
                <w:lang w:eastAsia="en-GB"/>
              </w:rPr>
              <w:t>with particular focus upon social value / delivery of training</w:t>
            </w:r>
          </w:p>
          <w:p w:rsidR="00A131DA" w:rsidRPr="0079262B" w:rsidRDefault="00A131DA" w:rsidP="00A203CC">
            <w:pPr>
              <w:autoSpaceDE w:val="0"/>
              <w:autoSpaceDN w:val="0"/>
              <w:adjustRightInd w:val="0"/>
              <w:rPr>
                <w:rFonts w:ascii="Arial" w:hAnsi="Arial" w:cs="Arial"/>
                <w:color w:val="000000"/>
                <w:sz w:val="24"/>
                <w:szCs w:val="24"/>
                <w:lang w:eastAsia="en-GB"/>
              </w:rPr>
            </w:pPr>
          </w:p>
          <w:p w:rsidR="00A131DA" w:rsidRPr="0079262B" w:rsidRDefault="00A131DA" w:rsidP="00A203CC">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Whole period</w:t>
            </w:r>
          </w:p>
        </w:tc>
        <w:tc>
          <w:tcPr>
            <w:tcW w:w="524"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8</w:t>
            </w:r>
            <w:r w:rsidRPr="0079262B">
              <w:rPr>
                <w:rFonts w:ascii="Arial" w:hAnsi="Arial" w:cs="Arial"/>
                <w:color w:val="000000"/>
                <w:sz w:val="24"/>
                <w:szCs w:val="24"/>
                <w:lang w:eastAsia="en-GB"/>
              </w:rPr>
              <w:t>.00</w:t>
            </w:r>
          </w:p>
        </w:tc>
      </w:tr>
      <w:tr w:rsidR="00A131DA" w:rsidRPr="0079262B" w:rsidTr="00A203CC">
        <w:tc>
          <w:tcPr>
            <w:tcW w:w="457"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A131DA" w:rsidRDefault="00A131DA" w:rsidP="00A203CC">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Governance &amp; </w:t>
            </w:r>
            <w:r>
              <w:rPr>
                <w:rFonts w:ascii="Arial" w:hAnsi="Arial" w:cs="Arial"/>
                <w:color w:val="000000"/>
                <w:sz w:val="24"/>
                <w:szCs w:val="24"/>
                <w:lang w:eastAsia="en-GB"/>
              </w:rPr>
              <w:t>Standards</w:t>
            </w:r>
            <w:r w:rsidRPr="0079262B">
              <w:rPr>
                <w:rFonts w:ascii="Arial" w:hAnsi="Arial" w:cs="Arial"/>
                <w:color w:val="000000"/>
                <w:sz w:val="24"/>
                <w:szCs w:val="24"/>
                <w:lang w:eastAsia="en-GB"/>
              </w:rPr>
              <w:t xml:space="preserve"> Committee Support &amp; Member Training</w:t>
            </w:r>
          </w:p>
          <w:p w:rsidR="00A131DA" w:rsidRDefault="00A131DA" w:rsidP="00A203CC">
            <w:pPr>
              <w:autoSpaceDE w:val="0"/>
              <w:autoSpaceDN w:val="0"/>
              <w:adjustRightInd w:val="0"/>
              <w:rPr>
                <w:rFonts w:ascii="Arial" w:hAnsi="Arial" w:cs="Arial"/>
                <w:color w:val="000000"/>
                <w:sz w:val="24"/>
                <w:szCs w:val="24"/>
                <w:lang w:eastAsia="en-GB"/>
              </w:rPr>
            </w:pPr>
          </w:p>
          <w:p w:rsidR="00A131DA" w:rsidRDefault="00A131DA" w:rsidP="00A203CC">
            <w:pPr>
              <w:autoSpaceDE w:val="0"/>
              <w:autoSpaceDN w:val="0"/>
              <w:adjustRightInd w:val="0"/>
              <w:rPr>
                <w:rFonts w:ascii="Arial" w:hAnsi="Arial" w:cs="Arial"/>
                <w:color w:val="000000"/>
                <w:sz w:val="24"/>
                <w:szCs w:val="24"/>
                <w:lang w:eastAsia="en-GB"/>
              </w:rPr>
            </w:pPr>
          </w:p>
          <w:p w:rsidR="00A131DA" w:rsidRDefault="00A131DA" w:rsidP="00A203CC">
            <w:pPr>
              <w:autoSpaceDE w:val="0"/>
              <w:autoSpaceDN w:val="0"/>
              <w:adjustRightInd w:val="0"/>
              <w:rPr>
                <w:rFonts w:ascii="Arial" w:hAnsi="Arial" w:cs="Arial"/>
                <w:color w:val="000000"/>
                <w:sz w:val="24"/>
                <w:szCs w:val="24"/>
                <w:lang w:eastAsia="en-GB"/>
              </w:rPr>
            </w:pPr>
          </w:p>
          <w:p w:rsidR="00A131DA" w:rsidRPr="0079262B" w:rsidRDefault="00A131DA" w:rsidP="00A203CC">
            <w:pPr>
              <w:autoSpaceDE w:val="0"/>
              <w:autoSpaceDN w:val="0"/>
              <w:adjustRightInd w:val="0"/>
              <w:rPr>
                <w:rFonts w:ascii="Arial" w:hAnsi="Arial" w:cs="Arial"/>
                <w:color w:val="000000"/>
                <w:sz w:val="24"/>
                <w:szCs w:val="24"/>
                <w:lang w:eastAsia="en-GB"/>
              </w:rPr>
            </w:pPr>
          </w:p>
          <w:p w:rsidR="00A131DA" w:rsidRPr="0079262B" w:rsidRDefault="00A131DA" w:rsidP="00A203CC">
            <w:pPr>
              <w:autoSpaceDE w:val="0"/>
              <w:autoSpaceDN w:val="0"/>
              <w:adjustRightInd w:val="0"/>
              <w:rPr>
                <w:rFonts w:ascii="Arial" w:hAnsi="Arial" w:cs="Arial"/>
                <w:color w:val="000000"/>
                <w:sz w:val="24"/>
                <w:szCs w:val="24"/>
                <w:lang w:eastAsia="en-GB"/>
              </w:rPr>
            </w:pPr>
          </w:p>
          <w:p w:rsidR="00A131DA" w:rsidRPr="0079262B" w:rsidRDefault="00A131DA" w:rsidP="00A203CC">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hideMark/>
          </w:tcPr>
          <w:p w:rsidR="00A131DA" w:rsidRDefault="00A131DA" w:rsidP="00A203CC">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Reports for Committee / attendance at meetings, follow up of audit recommendations / training of members on relevant governance issues / responses to member questions </w:t>
            </w:r>
          </w:p>
          <w:p w:rsidR="00A131DA" w:rsidRDefault="00A131DA" w:rsidP="00A203CC">
            <w:pPr>
              <w:autoSpaceDE w:val="0"/>
              <w:autoSpaceDN w:val="0"/>
              <w:adjustRightInd w:val="0"/>
              <w:rPr>
                <w:rFonts w:ascii="Arial" w:hAnsi="Arial" w:cs="Arial"/>
                <w:color w:val="000000"/>
                <w:sz w:val="24"/>
                <w:szCs w:val="24"/>
                <w:lang w:eastAsia="en-GB"/>
              </w:rPr>
            </w:pPr>
          </w:p>
          <w:p w:rsidR="00A131DA" w:rsidRDefault="00A131DA" w:rsidP="00A203CC">
            <w:pPr>
              <w:autoSpaceDE w:val="0"/>
              <w:autoSpaceDN w:val="0"/>
              <w:adjustRightInd w:val="0"/>
              <w:rPr>
                <w:rFonts w:ascii="Arial" w:hAnsi="Arial" w:cs="Arial"/>
                <w:color w:val="000000"/>
                <w:sz w:val="24"/>
                <w:szCs w:val="24"/>
                <w:lang w:eastAsia="en-GB"/>
              </w:rPr>
            </w:pPr>
          </w:p>
          <w:p w:rsidR="00A131DA" w:rsidRPr="0079262B" w:rsidRDefault="00A131DA" w:rsidP="00A203CC">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Whole Period</w:t>
            </w:r>
            <w:r w:rsidRPr="0079262B">
              <w:rPr>
                <w:rFonts w:ascii="Arial" w:hAnsi="Arial" w:cs="Arial"/>
                <w:color w:val="000000"/>
                <w:sz w:val="24"/>
                <w:szCs w:val="24"/>
                <w:lang w:eastAsia="en-GB"/>
              </w:rPr>
              <w:t xml:space="preserve"> </w:t>
            </w:r>
          </w:p>
        </w:tc>
        <w:tc>
          <w:tcPr>
            <w:tcW w:w="524"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7</w:t>
            </w:r>
            <w:r w:rsidRPr="0079262B">
              <w:rPr>
                <w:rFonts w:ascii="Arial" w:hAnsi="Arial" w:cs="Arial"/>
                <w:color w:val="000000"/>
                <w:sz w:val="24"/>
                <w:szCs w:val="24"/>
                <w:lang w:eastAsia="en-GB"/>
              </w:rPr>
              <w:t>.00</w:t>
            </w:r>
          </w:p>
        </w:tc>
      </w:tr>
      <w:tr w:rsidR="00A131DA" w:rsidRPr="0079262B" w:rsidTr="00A203CC">
        <w:tc>
          <w:tcPr>
            <w:tcW w:w="457"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Counter Fraud </w:t>
            </w:r>
            <w:r>
              <w:rPr>
                <w:rFonts w:ascii="Arial" w:hAnsi="Arial" w:cs="Arial"/>
                <w:color w:val="000000"/>
                <w:sz w:val="24"/>
                <w:szCs w:val="24"/>
                <w:lang w:eastAsia="en-GB"/>
              </w:rPr>
              <w:t>Arrangements</w:t>
            </w:r>
          </w:p>
        </w:tc>
        <w:tc>
          <w:tcPr>
            <w:tcW w:w="1960"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Delivery of Counter Fraud &amp; Corruption Plan / </w:t>
            </w:r>
            <w:r w:rsidRPr="0079262B">
              <w:rPr>
                <w:rFonts w:ascii="Arial" w:hAnsi="Arial" w:cs="Arial"/>
                <w:color w:val="000000"/>
                <w:sz w:val="24"/>
                <w:szCs w:val="24"/>
                <w:lang w:eastAsia="en-GB"/>
              </w:rPr>
              <w:t>key contact responsibilities for NFI</w:t>
            </w:r>
          </w:p>
          <w:p w:rsidR="00A131DA" w:rsidRPr="0079262B" w:rsidRDefault="00A131DA" w:rsidP="00A203CC">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Whole Period</w:t>
            </w:r>
            <w:r w:rsidRPr="0079262B">
              <w:rPr>
                <w:rFonts w:ascii="Arial" w:hAnsi="Arial" w:cs="Arial"/>
                <w:color w:val="000000"/>
                <w:sz w:val="24"/>
                <w:szCs w:val="24"/>
                <w:lang w:eastAsia="en-GB"/>
              </w:rPr>
              <w:t xml:space="preserve"> </w:t>
            </w:r>
          </w:p>
        </w:tc>
        <w:tc>
          <w:tcPr>
            <w:tcW w:w="524"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10</w:t>
            </w:r>
            <w:r w:rsidRPr="0079262B">
              <w:rPr>
                <w:rFonts w:ascii="Arial" w:hAnsi="Arial" w:cs="Arial"/>
                <w:color w:val="000000"/>
                <w:sz w:val="24"/>
                <w:szCs w:val="24"/>
                <w:lang w:eastAsia="en-GB"/>
              </w:rPr>
              <w:t>.00</w:t>
            </w:r>
          </w:p>
        </w:tc>
      </w:tr>
      <w:tr w:rsidR="00A131DA" w:rsidRPr="0079262B" w:rsidTr="00A203CC">
        <w:tc>
          <w:tcPr>
            <w:tcW w:w="45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31DA" w:rsidRPr="0079262B" w:rsidRDefault="00A131DA" w:rsidP="00A203CC">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31DA" w:rsidRPr="0079262B" w:rsidRDefault="00A131DA" w:rsidP="00A203CC">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p w:rsidR="00A131DA" w:rsidRPr="0079262B" w:rsidRDefault="00A131DA" w:rsidP="00A203CC">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t>Integrity of Management Information</w:t>
            </w:r>
          </w:p>
          <w:p w:rsidR="00A131DA" w:rsidRPr="0079262B" w:rsidRDefault="00A131DA" w:rsidP="00A203CC">
            <w:pPr>
              <w:shd w:val="clear" w:color="auto" w:fill="BFBFBF" w:themeFill="background1" w:themeFillShade="BF"/>
              <w:autoSpaceDE w:val="0"/>
              <w:autoSpaceDN w:val="0"/>
              <w:adjustRightInd w:val="0"/>
              <w:rPr>
                <w:rFonts w:ascii="Arial" w:hAnsi="Arial" w:cs="Arial"/>
                <w:color w:val="000000"/>
                <w:sz w:val="24"/>
                <w:szCs w:val="24"/>
                <w:lang w:eastAsia="en-GB"/>
              </w:rPr>
            </w:pPr>
          </w:p>
        </w:tc>
      </w:tr>
      <w:tr w:rsidR="00A131DA" w:rsidRPr="0079262B" w:rsidTr="00A203CC">
        <w:tc>
          <w:tcPr>
            <w:tcW w:w="457" w:type="pct"/>
            <w:tcBorders>
              <w:top w:val="single" w:sz="4" w:space="0" w:color="auto"/>
              <w:left w:val="single" w:sz="4" w:space="0" w:color="auto"/>
              <w:bottom w:val="single" w:sz="4" w:space="0" w:color="auto"/>
              <w:right w:val="single" w:sz="4" w:space="0" w:color="auto"/>
            </w:tcBorders>
            <w:shd w:val="clear" w:color="auto" w:fill="auto"/>
          </w:tcPr>
          <w:p w:rsidR="00A131DA" w:rsidRDefault="00A131DA" w:rsidP="00A203CC">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A131DA" w:rsidRDefault="00A131DA" w:rsidP="00A203CC">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Housing Benefit Subsidy Claim</w:t>
            </w:r>
          </w:p>
        </w:tc>
        <w:tc>
          <w:tcPr>
            <w:tcW w:w="1960" w:type="pct"/>
            <w:tcBorders>
              <w:top w:val="single" w:sz="4" w:space="0" w:color="auto"/>
              <w:left w:val="single" w:sz="4" w:space="0" w:color="auto"/>
              <w:bottom w:val="single" w:sz="4" w:space="0" w:color="auto"/>
              <w:right w:val="single" w:sz="4" w:space="0" w:color="auto"/>
            </w:tcBorders>
            <w:shd w:val="clear" w:color="auto" w:fill="auto"/>
          </w:tcPr>
          <w:p w:rsidR="00A131DA" w:rsidRDefault="00A131DA" w:rsidP="00A203CC">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Validation of key controls in Benefits system / transactional testing/ support to external claim auditors</w:t>
            </w:r>
          </w:p>
          <w:p w:rsidR="00A131DA" w:rsidRDefault="00A131DA" w:rsidP="00A203CC">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A131DA" w:rsidRPr="00F014B5" w:rsidRDefault="00A131DA" w:rsidP="00A203CC">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July 2021</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131DA" w:rsidRPr="00F014B5" w:rsidRDefault="00A131DA" w:rsidP="00A203CC">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15.00</w:t>
            </w:r>
          </w:p>
        </w:tc>
      </w:tr>
      <w:tr w:rsidR="00A131DA" w:rsidRPr="0079262B" w:rsidTr="00A203CC">
        <w:tc>
          <w:tcPr>
            <w:tcW w:w="457" w:type="pct"/>
            <w:tcBorders>
              <w:top w:val="single" w:sz="4" w:space="0" w:color="auto"/>
              <w:left w:val="single" w:sz="4" w:space="0" w:color="auto"/>
              <w:bottom w:val="single" w:sz="4" w:space="0" w:color="auto"/>
              <w:right w:val="single" w:sz="4" w:space="0" w:color="auto"/>
            </w:tcBorders>
            <w:shd w:val="pct25" w:color="auto" w:fill="auto"/>
          </w:tcPr>
          <w:p w:rsidR="00A131DA" w:rsidRPr="0079262B" w:rsidRDefault="00A131DA" w:rsidP="00A203CC">
            <w:pPr>
              <w:rPr>
                <w:rFonts w:ascii="Arial" w:hAnsi="Arial" w:cs="Arial"/>
                <w:sz w:val="24"/>
                <w:szCs w:val="24"/>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pct25" w:color="auto" w:fill="auto"/>
          </w:tcPr>
          <w:p w:rsidR="00A131DA" w:rsidRPr="0079262B" w:rsidRDefault="00A131DA" w:rsidP="00A203CC">
            <w:pPr>
              <w:rPr>
                <w:rFonts w:ascii="Arial" w:hAnsi="Arial" w:cs="Arial"/>
                <w:sz w:val="24"/>
                <w:szCs w:val="24"/>
                <w:lang w:eastAsia="en-GB"/>
              </w:rPr>
            </w:pPr>
          </w:p>
          <w:p w:rsidR="00A131DA" w:rsidRPr="0079262B" w:rsidRDefault="00A131DA" w:rsidP="00A203CC">
            <w:pPr>
              <w:rPr>
                <w:rFonts w:ascii="Arial" w:hAnsi="Arial" w:cs="Arial"/>
                <w:sz w:val="24"/>
                <w:szCs w:val="24"/>
                <w:lang w:eastAsia="en-GB"/>
              </w:rPr>
            </w:pPr>
            <w:r w:rsidRPr="0079262B">
              <w:rPr>
                <w:rFonts w:ascii="Arial" w:hAnsi="Arial" w:cs="Arial"/>
                <w:b/>
                <w:sz w:val="24"/>
                <w:szCs w:val="24"/>
                <w:u w:val="single"/>
                <w:lang w:eastAsia="en-GB"/>
              </w:rPr>
              <w:t xml:space="preserve">Support &amp; Development </w:t>
            </w:r>
          </w:p>
          <w:p w:rsidR="00A131DA" w:rsidRPr="0079262B" w:rsidRDefault="00A131DA" w:rsidP="00A203CC">
            <w:pPr>
              <w:rPr>
                <w:rFonts w:ascii="Arial" w:hAnsi="Arial" w:cs="Arial"/>
                <w:sz w:val="24"/>
                <w:szCs w:val="24"/>
                <w:lang w:eastAsia="en-GB"/>
              </w:rPr>
            </w:pPr>
          </w:p>
        </w:tc>
      </w:tr>
      <w:tr w:rsidR="00A131DA" w:rsidRPr="0079262B" w:rsidTr="00A203CC">
        <w:tc>
          <w:tcPr>
            <w:tcW w:w="457"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jc w:val="center"/>
              <w:rPr>
                <w:rFonts w:ascii="Arial" w:hAnsi="Arial" w:cs="Arial"/>
                <w:color w:val="000000"/>
                <w:sz w:val="24"/>
                <w:szCs w:val="24"/>
                <w:lang w:eastAsia="en-GB"/>
              </w:rPr>
            </w:pPr>
            <w:r w:rsidRPr="0079262B">
              <w:rPr>
                <w:rFonts w:ascii="Arial" w:hAnsi="Arial" w:cs="Arial"/>
                <w:color w:val="000000"/>
                <w:sz w:val="24"/>
                <w:szCs w:val="24"/>
                <w:lang w:eastAsia="en-GB"/>
              </w:rPr>
              <w:t>-</w:t>
            </w:r>
          </w:p>
        </w:tc>
        <w:tc>
          <w:tcPr>
            <w:tcW w:w="1534" w:type="pct"/>
            <w:tcBorders>
              <w:top w:val="single" w:sz="4" w:space="0" w:color="auto"/>
              <w:left w:val="single" w:sz="4" w:space="0" w:color="auto"/>
              <w:bottom w:val="single" w:sz="4" w:space="0" w:color="auto"/>
              <w:right w:val="single" w:sz="4" w:space="0" w:color="auto"/>
            </w:tcBorders>
          </w:tcPr>
          <w:p w:rsidR="00A131DA" w:rsidRPr="0079262B" w:rsidRDefault="00A131DA" w:rsidP="00A203CC">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Covid-19 Related / </w:t>
            </w:r>
            <w:r w:rsidRPr="0079262B">
              <w:rPr>
                <w:rFonts w:ascii="Arial" w:hAnsi="Arial" w:cs="Arial"/>
                <w:color w:val="000000"/>
                <w:sz w:val="24"/>
                <w:szCs w:val="24"/>
                <w:lang w:eastAsia="en-GB"/>
              </w:rPr>
              <w:t>Consultancy &amp; Special Investigations</w:t>
            </w:r>
          </w:p>
          <w:p w:rsidR="00A131DA" w:rsidRPr="0079262B" w:rsidRDefault="00A131DA" w:rsidP="00A203CC">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tcPr>
          <w:p w:rsidR="00A131DA" w:rsidRDefault="00A131DA" w:rsidP="00A203CC">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Support to management as required as part of Covid-19 recovery period / certification of grants / p</w:t>
            </w:r>
            <w:r w:rsidRPr="0079262B">
              <w:rPr>
                <w:rFonts w:ascii="Arial" w:hAnsi="Arial" w:cs="Arial"/>
                <w:color w:val="000000"/>
                <w:sz w:val="24"/>
                <w:szCs w:val="24"/>
                <w:lang w:eastAsia="en-GB"/>
              </w:rPr>
              <w:t>rofessional independent advice on audit / governance arrangements  management</w:t>
            </w:r>
          </w:p>
          <w:p w:rsidR="00A131DA" w:rsidRDefault="00A131DA" w:rsidP="00A203CC">
            <w:pPr>
              <w:autoSpaceDE w:val="0"/>
              <w:autoSpaceDN w:val="0"/>
              <w:adjustRightInd w:val="0"/>
              <w:rPr>
                <w:rFonts w:ascii="Arial" w:hAnsi="Arial" w:cs="Arial"/>
                <w:color w:val="000000"/>
                <w:sz w:val="24"/>
                <w:szCs w:val="24"/>
                <w:lang w:eastAsia="en-GB"/>
              </w:rPr>
            </w:pPr>
          </w:p>
          <w:p w:rsidR="00A131DA" w:rsidRPr="0079262B" w:rsidRDefault="00A131DA" w:rsidP="00A203CC">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Special investigations carried out into alleged instances of fraud / corruption or financial malpractice  </w:t>
            </w:r>
          </w:p>
          <w:p w:rsidR="00A131DA" w:rsidRPr="0079262B" w:rsidRDefault="00A131DA" w:rsidP="00A203CC">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Whole Period</w:t>
            </w:r>
            <w:r w:rsidRPr="0079262B">
              <w:rPr>
                <w:rFonts w:ascii="Arial" w:hAnsi="Arial" w:cs="Arial"/>
                <w:color w:val="000000"/>
                <w:sz w:val="24"/>
                <w:szCs w:val="24"/>
                <w:lang w:eastAsia="en-GB"/>
              </w:rPr>
              <w:t xml:space="preserve"> </w:t>
            </w:r>
          </w:p>
        </w:tc>
        <w:tc>
          <w:tcPr>
            <w:tcW w:w="524" w:type="pct"/>
            <w:tcBorders>
              <w:top w:val="single" w:sz="4" w:space="0" w:color="auto"/>
              <w:left w:val="single" w:sz="4" w:space="0" w:color="auto"/>
              <w:bottom w:val="single" w:sz="4" w:space="0" w:color="auto"/>
              <w:right w:val="single" w:sz="4" w:space="0" w:color="auto"/>
            </w:tcBorders>
            <w:hideMark/>
          </w:tcPr>
          <w:p w:rsidR="00A131DA" w:rsidRPr="0079262B" w:rsidRDefault="00A131DA" w:rsidP="00A203CC">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20</w:t>
            </w:r>
            <w:r w:rsidRPr="0079262B">
              <w:rPr>
                <w:rFonts w:ascii="Arial" w:hAnsi="Arial" w:cs="Arial"/>
                <w:color w:val="000000"/>
                <w:sz w:val="24"/>
                <w:szCs w:val="24"/>
                <w:lang w:eastAsia="en-GB"/>
              </w:rPr>
              <w:t>.00</w:t>
            </w:r>
          </w:p>
        </w:tc>
      </w:tr>
    </w:tbl>
    <w:p w:rsidR="00A131DA" w:rsidRDefault="00A131DA" w:rsidP="00A131DA">
      <w:pPr>
        <w:pStyle w:val="BodyTextIndent"/>
        <w:ind w:left="709" w:right="-270" w:hanging="709"/>
      </w:pPr>
    </w:p>
    <w:p w:rsidR="0044388C" w:rsidRDefault="0044388C" w:rsidP="0044388C">
      <w:pPr>
        <w:ind w:left="720" w:hanging="720"/>
        <w:rPr>
          <w:rFonts w:ascii="Arial" w:hAnsi="Arial" w:cs="Arial"/>
          <w:color w:val="000000"/>
          <w:sz w:val="24"/>
          <w:szCs w:val="24"/>
        </w:rPr>
      </w:pPr>
    </w:p>
    <w:p w:rsidR="00A131DA" w:rsidRDefault="00A131DA" w:rsidP="0044388C">
      <w:pPr>
        <w:ind w:left="720" w:hanging="720"/>
        <w:rPr>
          <w:rFonts w:ascii="Arial" w:hAnsi="Arial" w:cs="Arial"/>
          <w:color w:val="000000"/>
          <w:sz w:val="24"/>
          <w:szCs w:val="24"/>
        </w:rPr>
        <w:sectPr w:rsidR="00A131DA" w:rsidSect="00A2515A">
          <w:pgSz w:w="15840" w:h="12240" w:orient="landscape"/>
          <w:pgMar w:top="1800" w:right="1440" w:bottom="1800" w:left="1440" w:header="720" w:footer="720" w:gutter="0"/>
          <w:cols w:space="720"/>
          <w:docGrid w:linePitch="272"/>
        </w:sectPr>
      </w:pPr>
    </w:p>
    <w:p w:rsidR="00901CBA" w:rsidRDefault="0051130E" w:rsidP="00901CBA">
      <w:pPr>
        <w:pStyle w:val="Heading4"/>
        <w:rPr>
          <w:rFonts w:ascii="Arial" w:hAnsi="Arial" w:cs="Arial"/>
          <w:b/>
          <w:szCs w:val="24"/>
          <w:u w:val="none"/>
        </w:rPr>
      </w:pPr>
      <w:r>
        <w:rPr>
          <w:rFonts w:ascii="Arial" w:hAnsi="Arial" w:cs="Arial"/>
          <w:b/>
          <w:szCs w:val="24"/>
          <w:u w:val="none"/>
        </w:rPr>
        <w:t>4</w:t>
      </w:r>
      <w:r>
        <w:rPr>
          <w:rFonts w:ascii="Arial" w:hAnsi="Arial" w:cs="Arial"/>
          <w:b/>
          <w:szCs w:val="24"/>
          <w:u w:val="none"/>
        </w:rPr>
        <w:tab/>
      </w:r>
      <w:r w:rsidR="00901CBA" w:rsidRPr="002C094E">
        <w:rPr>
          <w:rFonts w:ascii="Arial" w:hAnsi="Arial" w:cs="Arial"/>
          <w:b/>
          <w:szCs w:val="24"/>
          <w:u w:val="none"/>
        </w:rPr>
        <w:t>OPTIONS AVAILABLE</w:t>
      </w:r>
    </w:p>
    <w:p w:rsidR="00861964" w:rsidRDefault="00861964" w:rsidP="00861964"/>
    <w:p w:rsidR="00861964" w:rsidRPr="00861964" w:rsidRDefault="00861964" w:rsidP="00861964">
      <w:pPr>
        <w:rPr>
          <w:rFonts w:ascii="Arial" w:hAnsi="Arial" w:cs="Arial"/>
          <w:sz w:val="24"/>
          <w:szCs w:val="24"/>
          <w:u w:val="single"/>
        </w:rPr>
      </w:pPr>
      <w:r>
        <w:rPr>
          <w:rFonts w:ascii="Arial" w:hAnsi="Arial" w:cs="Arial"/>
          <w:sz w:val="24"/>
          <w:szCs w:val="24"/>
        </w:rPr>
        <w:tab/>
      </w:r>
      <w:r>
        <w:rPr>
          <w:rFonts w:ascii="Arial" w:hAnsi="Arial" w:cs="Arial"/>
          <w:sz w:val="24"/>
          <w:szCs w:val="24"/>
          <w:u w:val="single"/>
        </w:rPr>
        <w:t>Position Statement</w:t>
      </w:r>
    </w:p>
    <w:p w:rsidR="00901CBA" w:rsidRPr="00304BD4" w:rsidRDefault="00901CBA" w:rsidP="00901CBA">
      <w:pPr>
        <w:pStyle w:val="Heading4"/>
        <w:tabs>
          <w:tab w:val="clear" w:pos="720"/>
        </w:tabs>
        <w:ind w:left="0" w:firstLine="0"/>
        <w:rPr>
          <w:rFonts w:ascii="Arial" w:hAnsi="Arial" w:cs="Arial"/>
          <w:szCs w:val="24"/>
        </w:rPr>
      </w:pPr>
    </w:p>
    <w:p w:rsidR="0022732F" w:rsidRDefault="00901CBA" w:rsidP="00F35D83">
      <w:pPr>
        <w:pStyle w:val="Heading4"/>
        <w:tabs>
          <w:tab w:val="clear" w:pos="720"/>
        </w:tabs>
        <w:rPr>
          <w:rFonts w:ascii="Arial" w:hAnsi="Arial" w:cs="Arial"/>
          <w:szCs w:val="24"/>
          <w:u w:val="none"/>
        </w:rPr>
      </w:pPr>
      <w:r>
        <w:rPr>
          <w:rFonts w:ascii="Arial" w:hAnsi="Arial" w:cs="Arial"/>
          <w:szCs w:val="24"/>
          <w:u w:val="none"/>
        </w:rPr>
        <w:t>4.1</w:t>
      </w:r>
      <w:r>
        <w:rPr>
          <w:rFonts w:ascii="Arial" w:hAnsi="Arial" w:cs="Arial"/>
          <w:szCs w:val="24"/>
          <w:u w:val="none"/>
        </w:rPr>
        <w:tab/>
      </w:r>
      <w:r w:rsidRPr="00304BD4">
        <w:rPr>
          <w:rFonts w:ascii="Arial" w:hAnsi="Arial" w:cs="Arial"/>
          <w:szCs w:val="24"/>
          <w:u w:val="none"/>
        </w:rPr>
        <w:t xml:space="preserve">The option available </w:t>
      </w:r>
      <w:r w:rsidR="00500D46">
        <w:rPr>
          <w:rFonts w:ascii="Arial" w:hAnsi="Arial" w:cs="Arial"/>
          <w:szCs w:val="24"/>
          <w:u w:val="none"/>
        </w:rPr>
        <w:t>is</w:t>
      </w:r>
      <w:r w:rsidRPr="00304BD4">
        <w:rPr>
          <w:rFonts w:ascii="Arial" w:hAnsi="Arial" w:cs="Arial"/>
          <w:szCs w:val="24"/>
          <w:u w:val="none"/>
        </w:rPr>
        <w:t xml:space="preserve"> to </w:t>
      </w:r>
      <w:r w:rsidR="0000639A">
        <w:rPr>
          <w:rFonts w:ascii="Arial" w:hAnsi="Arial" w:cs="Arial"/>
          <w:szCs w:val="24"/>
          <w:u w:val="none"/>
        </w:rPr>
        <w:t xml:space="preserve">note </w:t>
      </w:r>
      <w:r w:rsidRPr="00304BD4">
        <w:rPr>
          <w:rFonts w:ascii="Arial" w:hAnsi="Arial" w:cs="Arial"/>
          <w:szCs w:val="24"/>
          <w:u w:val="none"/>
        </w:rPr>
        <w:t xml:space="preserve">the </w:t>
      </w:r>
      <w:r w:rsidR="00500D46">
        <w:rPr>
          <w:rFonts w:ascii="Arial" w:hAnsi="Arial" w:cs="Arial"/>
          <w:szCs w:val="24"/>
          <w:u w:val="none"/>
        </w:rPr>
        <w:t>position statement</w:t>
      </w:r>
      <w:r w:rsidR="00D363CC">
        <w:rPr>
          <w:rFonts w:ascii="Arial" w:hAnsi="Arial" w:cs="Arial"/>
          <w:szCs w:val="24"/>
          <w:u w:val="none"/>
        </w:rPr>
        <w:t>.</w:t>
      </w:r>
    </w:p>
    <w:p w:rsidR="00861964" w:rsidRDefault="00861964" w:rsidP="00861964"/>
    <w:p w:rsidR="00861964" w:rsidRDefault="00861964" w:rsidP="00861964">
      <w:pPr>
        <w:rPr>
          <w:rFonts w:ascii="Arial" w:hAnsi="Arial" w:cs="Arial"/>
          <w:sz w:val="24"/>
          <w:szCs w:val="24"/>
        </w:rPr>
      </w:pPr>
      <w:r>
        <w:tab/>
      </w:r>
      <w:r>
        <w:rPr>
          <w:rFonts w:ascii="Arial" w:hAnsi="Arial" w:cs="Arial"/>
          <w:sz w:val="24"/>
          <w:szCs w:val="24"/>
          <w:u w:val="single"/>
        </w:rPr>
        <w:t>Proposed Internal Audit Plan</w:t>
      </w:r>
    </w:p>
    <w:p w:rsidR="00861964" w:rsidRDefault="00861964" w:rsidP="00861964">
      <w:pPr>
        <w:rPr>
          <w:rFonts w:ascii="Arial" w:hAnsi="Arial" w:cs="Arial"/>
          <w:sz w:val="24"/>
          <w:szCs w:val="24"/>
        </w:rPr>
      </w:pPr>
    </w:p>
    <w:p w:rsidR="00861964" w:rsidRPr="00861964" w:rsidRDefault="00861964" w:rsidP="00861964">
      <w:pPr>
        <w:rPr>
          <w:rFonts w:ascii="Arial" w:hAnsi="Arial" w:cs="Arial"/>
          <w:sz w:val="24"/>
          <w:szCs w:val="24"/>
        </w:rPr>
      </w:pPr>
      <w:r>
        <w:rPr>
          <w:rFonts w:ascii="Arial" w:hAnsi="Arial" w:cs="Arial"/>
          <w:sz w:val="24"/>
          <w:szCs w:val="24"/>
        </w:rPr>
        <w:t>4.2</w:t>
      </w:r>
      <w:r>
        <w:rPr>
          <w:rFonts w:ascii="Arial" w:hAnsi="Arial" w:cs="Arial"/>
          <w:sz w:val="24"/>
          <w:szCs w:val="24"/>
        </w:rPr>
        <w:tab/>
        <w:t>The option available is to approve the Plan or agree amendments to it</w:t>
      </w:r>
    </w:p>
    <w:p w:rsidR="0022732F" w:rsidRDefault="0022732F" w:rsidP="00407244"/>
    <w:p w:rsidR="00901CBA" w:rsidRDefault="00901CBA" w:rsidP="00901CBA">
      <w:pPr>
        <w:ind w:right="-270"/>
        <w:rPr>
          <w:rFonts w:ascii="Arial" w:hAnsi="Arial" w:cs="Arial"/>
          <w:sz w:val="24"/>
          <w:szCs w:val="24"/>
        </w:rPr>
      </w:pPr>
      <w:r>
        <w:rPr>
          <w:rFonts w:ascii="Arial" w:hAnsi="Arial" w:cs="Arial"/>
          <w:b/>
          <w:sz w:val="24"/>
          <w:szCs w:val="24"/>
        </w:rPr>
        <w:t>5</w:t>
      </w:r>
      <w:r>
        <w:rPr>
          <w:rFonts w:ascii="Arial" w:hAnsi="Arial" w:cs="Arial"/>
          <w:sz w:val="24"/>
          <w:szCs w:val="24"/>
        </w:rPr>
        <w:tab/>
      </w:r>
      <w:r w:rsidRPr="008702DA">
        <w:rPr>
          <w:rFonts w:ascii="Arial" w:hAnsi="Arial" w:cs="Arial"/>
          <w:b/>
          <w:sz w:val="24"/>
          <w:szCs w:val="24"/>
        </w:rPr>
        <w:t>RISK ASSESSMENT</w:t>
      </w:r>
      <w:r>
        <w:rPr>
          <w:rFonts w:ascii="Arial" w:hAnsi="Arial" w:cs="Arial"/>
          <w:b/>
          <w:sz w:val="24"/>
          <w:szCs w:val="24"/>
        </w:rPr>
        <w:t xml:space="preserve"> OF RECOMMENDATIONS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rsidR="00901CBA" w:rsidRDefault="00901CBA" w:rsidP="00901CBA">
      <w:pPr>
        <w:ind w:right="-270"/>
        <w:rPr>
          <w:rFonts w:ascii="Arial" w:hAnsi="Arial" w:cs="Arial"/>
          <w:sz w:val="24"/>
          <w:szCs w:val="24"/>
        </w:rPr>
      </w:pPr>
    </w:p>
    <w:p w:rsidR="007B1721" w:rsidRPr="00FD7E85" w:rsidRDefault="001D3E5A" w:rsidP="007B1721">
      <w:pPr>
        <w:ind w:left="720" w:hanging="720"/>
        <w:rPr>
          <w:rFonts w:ascii="Arial" w:hAnsi="Arial" w:cs="Arial"/>
          <w:sz w:val="24"/>
          <w:szCs w:val="24"/>
        </w:rPr>
      </w:pPr>
      <w:r>
        <w:rPr>
          <w:rFonts w:ascii="Arial" w:hAnsi="Arial" w:cs="Arial"/>
          <w:sz w:val="24"/>
          <w:szCs w:val="24"/>
        </w:rPr>
        <w:t>5.1</w:t>
      </w:r>
      <w:r>
        <w:rPr>
          <w:rFonts w:ascii="Arial" w:hAnsi="Arial" w:cs="Arial"/>
          <w:sz w:val="24"/>
          <w:szCs w:val="24"/>
        </w:rPr>
        <w:tab/>
      </w:r>
      <w:r w:rsidR="007B1721" w:rsidRPr="00FD7E85">
        <w:rPr>
          <w:rFonts w:ascii="Arial" w:hAnsi="Arial" w:cs="Arial"/>
          <w:sz w:val="24"/>
          <w:szCs w:val="24"/>
        </w:rPr>
        <w:t xml:space="preserve">The </w:t>
      </w:r>
      <w:r w:rsidR="007B1721">
        <w:rPr>
          <w:rFonts w:ascii="Arial" w:hAnsi="Arial" w:cs="Arial"/>
          <w:sz w:val="24"/>
          <w:szCs w:val="24"/>
        </w:rPr>
        <w:t>Public Sector Internal Audit Standards</w:t>
      </w:r>
      <w:r w:rsidR="007B1721" w:rsidRPr="00FD7E85">
        <w:rPr>
          <w:rFonts w:ascii="Arial" w:hAnsi="Arial" w:cs="Arial"/>
          <w:sz w:val="24"/>
          <w:szCs w:val="24"/>
        </w:rPr>
        <w:t xml:space="preserve"> will not be fully complied with unless the </w:t>
      </w:r>
      <w:r w:rsidR="007B1721">
        <w:rPr>
          <w:rFonts w:ascii="Arial" w:hAnsi="Arial" w:cs="Arial"/>
          <w:sz w:val="24"/>
          <w:szCs w:val="24"/>
        </w:rPr>
        <w:t xml:space="preserve">Corporate Assurance </w:t>
      </w:r>
      <w:r w:rsidR="007B1721" w:rsidRPr="00FD7E85">
        <w:rPr>
          <w:rFonts w:ascii="Arial" w:hAnsi="Arial" w:cs="Arial"/>
          <w:sz w:val="24"/>
          <w:szCs w:val="24"/>
        </w:rPr>
        <w:t xml:space="preserve">Manager produces an Internal Audit Plan and </w:t>
      </w:r>
      <w:r w:rsidR="007B1721">
        <w:rPr>
          <w:rFonts w:ascii="Arial" w:hAnsi="Arial" w:cs="Arial"/>
          <w:sz w:val="24"/>
          <w:szCs w:val="24"/>
        </w:rPr>
        <w:t>gets</w:t>
      </w:r>
      <w:r w:rsidR="007B1721" w:rsidRPr="00FD7E85">
        <w:rPr>
          <w:rFonts w:ascii="Arial" w:hAnsi="Arial" w:cs="Arial"/>
          <w:sz w:val="24"/>
          <w:szCs w:val="24"/>
        </w:rPr>
        <w:t xml:space="preserve"> it </w:t>
      </w:r>
      <w:r w:rsidR="007B1721">
        <w:rPr>
          <w:rFonts w:ascii="Arial" w:hAnsi="Arial" w:cs="Arial"/>
          <w:sz w:val="24"/>
          <w:szCs w:val="24"/>
        </w:rPr>
        <w:t>approved by</w:t>
      </w:r>
      <w:r w:rsidR="007B1721" w:rsidRPr="00FD7E85">
        <w:rPr>
          <w:rFonts w:ascii="Arial" w:hAnsi="Arial" w:cs="Arial"/>
          <w:sz w:val="24"/>
          <w:szCs w:val="24"/>
        </w:rPr>
        <w:t xml:space="preserve"> the </w:t>
      </w:r>
      <w:r w:rsidR="007B1721">
        <w:rPr>
          <w:rFonts w:ascii="Arial" w:hAnsi="Arial" w:cs="Arial"/>
          <w:sz w:val="24"/>
          <w:szCs w:val="24"/>
        </w:rPr>
        <w:t>Governance &amp; Standards</w:t>
      </w:r>
      <w:r w:rsidR="007B1721" w:rsidRPr="00FD7E85">
        <w:rPr>
          <w:rFonts w:ascii="Arial" w:hAnsi="Arial" w:cs="Arial"/>
          <w:sz w:val="24"/>
          <w:szCs w:val="24"/>
        </w:rPr>
        <w:t xml:space="preserve"> Committee</w:t>
      </w:r>
    </w:p>
    <w:p w:rsidR="007B1721" w:rsidRDefault="007B1721" w:rsidP="00901CBA">
      <w:pPr>
        <w:pStyle w:val="Heading4"/>
        <w:tabs>
          <w:tab w:val="clear" w:pos="720"/>
        </w:tabs>
        <w:ind w:left="0" w:right="-270" w:firstLine="0"/>
        <w:rPr>
          <w:rFonts w:ascii="Arial" w:hAnsi="Arial" w:cs="Arial"/>
          <w:b/>
          <w:szCs w:val="24"/>
          <w:u w:val="none"/>
        </w:rPr>
      </w:pPr>
    </w:p>
    <w:p w:rsidR="00901CBA" w:rsidRPr="008702DA" w:rsidRDefault="00901CBA" w:rsidP="00901CBA">
      <w:pPr>
        <w:pStyle w:val="Heading4"/>
        <w:tabs>
          <w:tab w:val="clear" w:pos="720"/>
        </w:tabs>
        <w:ind w:left="0" w:right="-270" w:firstLine="0"/>
        <w:rPr>
          <w:rFonts w:ascii="Arial" w:hAnsi="Arial" w:cs="Arial"/>
          <w:b/>
          <w:szCs w:val="24"/>
          <w:u w:val="none"/>
        </w:rPr>
      </w:pPr>
      <w:r>
        <w:rPr>
          <w:rFonts w:ascii="Arial" w:hAnsi="Arial" w:cs="Arial"/>
          <w:b/>
          <w:szCs w:val="24"/>
          <w:u w:val="none"/>
        </w:rPr>
        <w:t>6</w:t>
      </w:r>
      <w:r>
        <w:rPr>
          <w:rFonts w:ascii="Arial" w:hAnsi="Arial" w:cs="Arial"/>
          <w:b/>
          <w:szCs w:val="24"/>
          <w:u w:val="none"/>
        </w:rPr>
        <w:tab/>
      </w:r>
      <w:r w:rsidRPr="008702DA">
        <w:rPr>
          <w:rFonts w:ascii="Arial" w:hAnsi="Arial" w:cs="Arial"/>
          <w:b/>
          <w:szCs w:val="24"/>
          <w:u w:val="none"/>
        </w:rPr>
        <w:t>ALIGNMENT TO COUNCIL PRIORITIES</w:t>
      </w:r>
    </w:p>
    <w:p w:rsidR="00901CBA" w:rsidRPr="00304BD4" w:rsidRDefault="00901CBA" w:rsidP="00901CBA">
      <w:pPr>
        <w:ind w:right="-270"/>
        <w:rPr>
          <w:rFonts w:ascii="Arial" w:hAnsi="Arial" w:cs="Arial"/>
          <w:sz w:val="24"/>
          <w:szCs w:val="24"/>
        </w:rPr>
      </w:pPr>
    </w:p>
    <w:p w:rsidR="00901CBA" w:rsidRPr="00304BD4" w:rsidRDefault="00901CBA" w:rsidP="00901CBA">
      <w:pPr>
        <w:pStyle w:val="BodyText"/>
        <w:ind w:left="720" w:right="-270" w:hanging="720"/>
        <w:rPr>
          <w:rFonts w:ascii="Arial" w:hAnsi="Arial" w:cs="Arial"/>
          <w:szCs w:val="24"/>
        </w:rPr>
      </w:pPr>
      <w:r>
        <w:rPr>
          <w:rFonts w:ascii="Arial" w:hAnsi="Arial" w:cs="Arial"/>
          <w:szCs w:val="24"/>
        </w:rPr>
        <w:t>6.1</w:t>
      </w:r>
      <w:r>
        <w:rPr>
          <w:rFonts w:ascii="Arial" w:hAnsi="Arial" w:cs="Arial"/>
          <w:szCs w:val="24"/>
        </w:rPr>
        <w:tab/>
        <w:t xml:space="preserve">The need to maintain an effective Internal </w:t>
      </w:r>
      <w:smartTag w:uri="urn:schemas-microsoft-com:office:smarttags" w:element="PersonName">
        <w:r>
          <w:rPr>
            <w:rFonts w:ascii="Arial" w:hAnsi="Arial" w:cs="Arial"/>
            <w:szCs w:val="24"/>
          </w:rPr>
          <w:t>Audit</w:t>
        </w:r>
      </w:smartTag>
      <w:r>
        <w:rPr>
          <w:rFonts w:ascii="Arial" w:hAnsi="Arial" w:cs="Arial"/>
          <w:szCs w:val="24"/>
        </w:rPr>
        <w:t xml:space="preserve"> Service is fundamental to any Council as it endeavours to achieve its priorities. </w:t>
      </w:r>
    </w:p>
    <w:p w:rsidR="00901CBA" w:rsidRPr="00304BD4" w:rsidRDefault="00901CBA" w:rsidP="00901CBA">
      <w:pPr>
        <w:ind w:right="-270"/>
        <w:rPr>
          <w:rFonts w:ascii="Arial" w:hAnsi="Arial" w:cs="Arial"/>
          <w:sz w:val="24"/>
          <w:szCs w:val="24"/>
          <w:u w:val="single"/>
        </w:rPr>
      </w:pPr>
    </w:p>
    <w:p w:rsidR="00901CBA" w:rsidRDefault="00901CBA" w:rsidP="00901CBA">
      <w:pPr>
        <w:pStyle w:val="Heading4"/>
        <w:tabs>
          <w:tab w:val="clear" w:pos="720"/>
        </w:tabs>
        <w:ind w:left="0" w:right="-270" w:firstLine="0"/>
        <w:rPr>
          <w:rFonts w:ascii="Arial" w:hAnsi="Arial" w:cs="Arial"/>
          <w:b/>
          <w:szCs w:val="24"/>
          <w:u w:val="none"/>
        </w:rPr>
      </w:pPr>
      <w:r>
        <w:rPr>
          <w:rFonts w:ascii="Arial" w:hAnsi="Arial" w:cs="Arial"/>
          <w:b/>
          <w:szCs w:val="24"/>
          <w:u w:val="none"/>
        </w:rPr>
        <w:t>7</w:t>
      </w:r>
      <w:r>
        <w:rPr>
          <w:rFonts w:ascii="Arial" w:hAnsi="Arial" w:cs="Arial"/>
          <w:b/>
          <w:szCs w:val="24"/>
          <w:u w:val="none"/>
        </w:rPr>
        <w:tab/>
      </w:r>
      <w:r w:rsidRPr="008702DA">
        <w:rPr>
          <w:rFonts w:ascii="Arial" w:hAnsi="Arial" w:cs="Arial"/>
          <w:b/>
          <w:szCs w:val="24"/>
          <w:u w:val="none"/>
        </w:rPr>
        <w:t xml:space="preserve">IMPLICATIONS </w:t>
      </w:r>
    </w:p>
    <w:p w:rsidR="00901CBA" w:rsidRDefault="00901CBA" w:rsidP="00901CBA"/>
    <w:p w:rsidR="00901CBA" w:rsidRPr="00494D42" w:rsidRDefault="00901CBA" w:rsidP="00901CBA">
      <w:pPr>
        <w:rPr>
          <w:rFonts w:ascii="Arial" w:hAnsi="Arial" w:cs="Arial"/>
          <w:sz w:val="24"/>
          <w:szCs w:val="24"/>
        </w:rPr>
      </w:pPr>
      <w:r w:rsidRPr="00494D42">
        <w:rPr>
          <w:rFonts w:ascii="Arial" w:hAnsi="Arial" w:cs="Arial"/>
          <w:sz w:val="24"/>
          <w:szCs w:val="24"/>
        </w:rPr>
        <w:t>(a)</w:t>
      </w:r>
      <w:r w:rsidRPr="00494D42">
        <w:rPr>
          <w:rFonts w:ascii="Arial" w:hAnsi="Arial" w:cs="Arial"/>
          <w:sz w:val="24"/>
          <w:szCs w:val="24"/>
        </w:rPr>
        <w:tab/>
      </w:r>
      <w:r>
        <w:rPr>
          <w:rFonts w:ascii="Arial" w:hAnsi="Arial" w:cs="Arial"/>
          <w:sz w:val="24"/>
          <w:szCs w:val="24"/>
        </w:rPr>
        <w:t xml:space="preserve">Relevant Legislation </w:t>
      </w:r>
    </w:p>
    <w:p w:rsidR="00901CBA" w:rsidRPr="00494D42" w:rsidRDefault="00901CBA" w:rsidP="00901CBA">
      <w:pPr>
        <w:ind w:right="-270"/>
        <w:rPr>
          <w:rFonts w:ascii="Arial" w:hAnsi="Arial" w:cs="Arial"/>
          <w:sz w:val="24"/>
          <w:szCs w:val="24"/>
        </w:rPr>
      </w:pPr>
    </w:p>
    <w:p w:rsidR="00530199" w:rsidRDefault="00901CBA" w:rsidP="00530199">
      <w:pPr>
        <w:ind w:left="720" w:right="-270" w:hanging="720"/>
        <w:rPr>
          <w:rFonts w:ascii="Arial" w:hAnsi="Arial" w:cs="Arial"/>
          <w:sz w:val="24"/>
          <w:szCs w:val="24"/>
        </w:rPr>
      </w:pPr>
      <w:r>
        <w:rPr>
          <w:rFonts w:ascii="Arial" w:hAnsi="Arial" w:cs="Arial"/>
          <w:sz w:val="24"/>
          <w:szCs w:val="24"/>
        </w:rPr>
        <w:tab/>
      </w:r>
      <w:r w:rsidR="00530199">
        <w:rPr>
          <w:rFonts w:ascii="Arial" w:hAnsi="Arial" w:cs="Arial"/>
          <w:sz w:val="24"/>
          <w:szCs w:val="24"/>
        </w:rPr>
        <w:t xml:space="preserve">Regulation 5 of the Accounts and </w:t>
      </w:r>
      <w:smartTag w:uri="urn:schemas-microsoft-com:office:smarttags" w:element="PersonName">
        <w:r w:rsidR="00530199">
          <w:rPr>
            <w:rFonts w:ascii="Arial" w:hAnsi="Arial" w:cs="Arial"/>
            <w:sz w:val="24"/>
            <w:szCs w:val="24"/>
          </w:rPr>
          <w:t>Audit</w:t>
        </w:r>
      </w:smartTag>
      <w:r w:rsidR="00530199">
        <w:rPr>
          <w:rFonts w:ascii="Arial" w:hAnsi="Arial" w:cs="Arial"/>
          <w:sz w:val="24"/>
          <w:szCs w:val="24"/>
        </w:rPr>
        <w:t xml:space="preserve"> Regulations 2015 specifically requires that a relevant body must undertake an effective internal audit to evaluate the effectiveness of its risk management, control and governance processes, taking into account public sector internal auditing standards or guidance</w:t>
      </w:r>
    </w:p>
    <w:p w:rsidR="00323C2F" w:rsidRDefault="00323C2F" w:rsidP="00901CBA">
      <w:pPr>
        <w:ind w:left="720" w:right="-270" w:hanging="720"/>
        <w:rPr>
          <w:rFonts w:ascii="Arial" w:hAnsi="Arial" w:cs="Arial"/>
          <w:sz w:val="24"/>
          <w:szCs w:val="24"/>
        </w:rPr>
      </w:pPr>
    </w:p>
    <w:p w:rsidR="00901CBA" w:rsidRDefault="00901CBA" w:rsidP="00901CBA">
      <w:pPr>
        <w:ind w:left="720" w:right="-270" w:hanging="720"/>
        <w:rPr>
          <w:rFonts w:ascii="Arial" w:hAnsi="Arial" w:cs="Arial"/>
          <w:sz w:val="24"/>
          <w:szCs w:val="24"/>
        </w:rPr>
      </w:pPr>
      <w:r>
        <w:rPr>
          <w:rFonts w:ascii="Arial" w:hAnsi="Arial" w:cs="Arial"/>
          <w:sz w:val="24"/>
          <w:szCs w:val="24"/>
        </w:rPr>
        <w:t>(b)</w:t>
      </w:r>
      <w:r>
        <w:rPr>
          <w:rFonts w:ascii="Arial" w:hAnsi="Arial" w:cs="Arial"/>
          <w:sz w:val="24"/>
          <w:szCs w:val="24"/>
        </w:rPr>
        <w:tab/>
        <w:t>Human Rights</w:t>
      </w:r>
    </w:p>
    <w:p w:rsidR="00901CBA" w:rsidRDefault="00901CBA" w:rsidP="00901CBA">
      <w:pPr>
        <w:ind w:left="720" w:right="-270" w:hanging="720"/>
        <w:rPr>
          <w:rFonts w:ascii="Arial" w:hAnsi="Arial" w:cs="Arial"/>
          <w:sz w:val="24"/>
          <w:szCs w:val="24"/>
        </w:rPr>
      </w:pPr>
    </w:p>
    <w:p w:rsidR="00901CBA" w:rsidRDefault="00901CBA" w:rsidP="00901CBA">
      <w:pPr>
        <w:ind w:left="720" w:right="-270" w:hanging="720"/>
        <w:rPr>
          <w:rFonts w:ascii="Arial" w:hAnsi="Arial" w:cs="Arial"/>
          <w:sz w:val="24"/>
          <w:szCs w:val="24"/>
        </w:rPr>
      </w:pPr>
      <w:r>
        <w:rPr>
          <w:rFonts w:ascii="Arial" w:hAnsi="Arial" w:cs="Arial"/>
          <w:sz w:val="24"/>
          <w:szCs w:val="24"/>
        </w:rPr>
        <w:tab/>
        <w:t>The Human Rights Act 1998 is not engaged as no particular individual is directly affected by the decision</w:t>
      </w:r>
    </w:p>
    <w:p w:rsidR="00901CBA" w:rsidRDefault="00901CBA" w:rsidP="00901CBA">
      <w:pPr>
        <w:ind w:left="720" w:right="-270" w:hanging="720"/>
        <w:rPr>
          <w:rFonts w:ascii="Arial" w:hAnsi="Arial" w:cs="Arial"/>
          <w:sz w:val="24"/>
          <w:szCs w:val="24"/>
        </w:rPr>
      </w:pPr>
    </w:p>
    <w:p w:rsidR="00901CBA" w:rsidRDefault="00901CBA" w:rsidP="00901CBA">
      <w:pPr>
        <w:ind w:left="720" w:right="-270" w:hanging="720"/>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rsidR="00901CBA" w:rsidRDefault="00901CBA" w:rsidP="00901CBA">
      <w:pPr>
        <w:ind w:left="720" w:right="-270" w:hanging="720"/>
        <w:rPr>
          <w:rFonts w:ascii="Arial" w:hAnsi="Arial" w:cs="Arial"/>
          <w:sz w:val="24"/>
          <w:szCs w:val="24"/>
        </w:rPr>
      </w:pPr>
    </w:p>
    <w:p w:rsidR="00901CBA" w:rsidRDefault="00901CBA" w:rsidP="00901CBA">
      <w:pPr>
        <w:ind w:left="720" w:right="-270" w:hanging="720"/>
        <w:rPr>
          <w:rFonts w:ascii="Arial" w:hAnsi="Arial" w:cs="Arial"/>
          <w:sz w:val="24"/>
          <w:szCs w:val="24"/>
        </w:rPr>
      </w:pPr>
      <w:r>
        <w:rPr>
          <w:rFonts w:ascii="Arial" w:hAnsi="Arial" w:cs="Arial"/>
          <w:sz w:val="24"/>
          <w:szCs w:val="24"/>
        </w:rPr>
        <w:tab/>
        <w:t xml:space="preserve">An </w:t>
      </w:r>
      <w:r w:rsidR="0096403D">
        <w:rPr>
          <w:rFonts w:ascii="Arial" w:hAnsi="Arial" w:cs="Arial"/>
          <w:sz w:val="24"/>
          <w:szCs w:val="24"/>
        </w:rPr>
        <w:t xml:space="preserve">initial </w:t>
      </w:r>
      <w:r>
        <w:rPr>
          <w:rFonts w:ascii="Arial" w:hAnsi="Arial" w:cs="Arial"/>
          <w:sz w:val="24"/>
          <w:szCs w:val="24"/>
        </w:rPr>
        <w:t>impact assessment has been completed and it concludes that the proposed actions are fair and equitable in their content and are not discriminative on the grounds of equality and human rights</w:t>
      </w:r>
    </w:p>
    <w:p w:rsidR="00901CBA" w:rsidRDefault="00901CBA" w:rsidP="00901CBA">
      <w:pPr>
        <w:ind w:left="720" w:right="-270" w:hanging="720"/>
        <w:rPr>
          <w:rFonts w:ascii="Arial" w:hAnsi="Arial" w:cs="Arial"/>
          <w:sz w:val="24"/>
          <w:szCs w:val="24"/>
        </w:rPr>
      </w:pPr>
    </w:p>
    <w:p w:rsidR="00901CBA" w:rsidRDefault="00901CBA" w:rsidP="00901CBA">
      <w:pPr>
        <w:ind w:left="720" w:right="-270" w:hanging="720"/>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rsidR="00901CBA" w:rsidRDefault="00901CBA" w:rsidP="00901CBA">
      <w:pPr>
        <w:ind w:left="720" w:right="-270" w:hanging="720"/>
        <w:rPr>
          <w:rFonts w:ascii="Arial" w:hAnsi="Arial" w:cs="Arial"/>
          <w:sz w:val="24"/>
          <w:szCs w:val="24"/>
        </w:rPr>
      </w:pPr>
    </w:p>
    <w:p w:rsidR="00901CBA" w:rsidRDefault="00901CBA" w:rsidP="00901CBA">
      <w:pPr>
        <w:ind w:left="720" w:right="-270" w:hanging="720"/>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p>
    <w:p w:rsidR="00901CBA" w:rsidRDefault="00901CBA" w:rsidP="00901CBA">
      <w:pPr>
        <w:ind w:left="720" w:right="-270" w:hanging="720"/>
        <w:rPr>
          <w:rFonts w:ascii="Arial" w:hAnsi="Arial" w:cs="Arial"/>
          <w:sz w:val="24"/>
          <w:szCs w:val="24"/>
        </w:rPr>
      </w:pPr>
    </w:p>
    <w:p w:rsidR="00100CC4" w:rsidRDefault="00100CC4" w:rsidP="00901CBA">
      <w:pPr>
        <w:ind w:left="720" w:right="-270" w:hanging="720"/>
        <w:rPr>
          <w:rFonts w:ascii="Arial" w:hAnsi="Arial" w:cs="Arial"/>
          <w:sz w:val="24"/>
          <w:szCs w:val="24"/>
        </w:rPr>
      </w:pPr>
    </w:p>
    <w:p w:rsidR="00901CBA" w:rsidRDefault="00901CBA" w:rsidP="00901CBA">
      <w:pPr>
        <w:ind w:left="720" w:right="-270" w:hanging="720"/>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rsidR="00901CBA" w:rsidRDefault="00901CBA" w:rsidP="00901CBA">
      <w:pPr>
        <w:ind w:left="720" w:right="-270" w:hanging="720"/>
        <w:rPr>
          <w:rFonts w:ascii="Arial" w:hAnsi="Arial" w:cs="Arial"/>
          <w:sz w:val="24"/>
          <w:szCs w:val="24"/>
        </w:rPr>
      </w:pPr>
    </w:p>
    <w:p w:rsidR="00901CBA" w:rsidRDefault="00901CBA" w:rsidP="00901CBA">
      <w:pPr>
        <w:ind w:left="720" w:right="-270" w:hanging="720"/>
        <w:rPr>
          <w:rFonts w:ascii="Arial" w:hAnsi="Arial" w:cs="Arial"/>
          <w:sz w:val="24"/>
          <w:szCs w:val="24"/>
        </w:rPr>
      </w:pPr>
      <w:r>
        <w:rPr>
          <w:rFonts w:ascii="Arial" w:hAnsi="Arial" w:cs="Arial"/>
          <w:sz w:val="24"/>
          <w:szCs w:val="24"/>
        </w:rPr>
        <w:tab/>
        <w:t>There are no implications for crime and disorder</w:t>
      </w:r>
    </w:p>
    <w:p w:rsidR="00901CBA" w:rsidRDefault="00901CBA" w:rsidP="00901CBA">
      <w:pPr>
        <w:ind w:left="720" w:right="-270" w:hanging="720"/>
        <w:rPr>
          <w:rFonts w:ascii="Arial" w:hAnsi="Arial" w:cs="Arial"/>
          <w:sz w:val="24"/>
          <w:szCs w:val="24"/>
        </w:rPr>
      </w:pPr>
    </w:p>
    <w:p w:rsidR="00901CBA" w:rsidRDefault="00901CBA" w:rsidP="00901CBA">
      <w:pPr>
        <w:ind w:left="720" w:right="-270" w:hanging="720"/>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rsidR="00901CBA" w:rsidRDefault="00901CBA" w:rsidP="00901CBA">
      <w:pPr>
        <w:ind w:left="720" w:right="-270" w:hanging="720"/>
        <w:rPr>
          <w:rFonts w:ascii="Arial" w:hAnsi="Arial" w:cs="Arial"/>
          <w:sz w:val="24"/>
          <w:szCs w:val="24"/>
        </w:rPr>
      </w:pPr>
    </w:p>
    <w:p w:rsidR="00901CBA" w:rsidRDefault="00901CBA" w:rsidP="00901CBA">
      <w:pPr>
        <w:ind w:left="720" w:right="-270" w:hanging="720"/>
        <w:rPr>
          <w:rFonts w:ascii="Arial" w:hAnsi="Arial" w:cs="Arial"/>
          <w:sz w:val="24"/>
          <w:szCs w:val="24"/>
        </w:rPr>
      </w:pPr>
      <w:r>
        <w:rPr>
          <w:rFonts w:ascii="Arial" w:hAnsi="Arial" w:cs="Arial"/>
          <w:sz w:val="24"/>
          <w:szCs w:val="24"/>
        </w:rPr>
        <w:tab/>
        <w:t>There are no implications</w:t>
      </w:r>
    </w:p>
    <w:p w:rsidR="00901CBA" w:rsidRDefault="00901CBA" w:rsidP="00901CBA">
      <w:pPr>
        <w:ind w:right="-270"/>
        <w:rPr>
          <w:rFonts w:ascii="Arial" w:hAnsi="Arial" w:cs="Arial"/>
          <w:sz w:val="24"/>
          <w:szCs w:val="24"/>
        </w:rPr>
      </w:pPr>
    </w:p>
    <w:p w:rsidR="00901CBA" w:rsidRDefault="00901CBA" w:rsidP="00901CBA">
      <w:pPr>
        <w:ind w:right="-270"/>
        <w:rPr>
          <w:rFonts w:ascii="Arial" w:hAnsi="Arial" w:cs="Arial"/>
          <w:sz w:val="24"/>
          <w:szCs w:val="24"/>
          <w:u w:val="single"/>
        </w:rPr>
      </w:pPr>
      <w:r>
        <w:rPr>
          <w:rFonts w:ascii="Arial" w:hAnsi="Arial" w:cs="Arial"/>
          <w:b/>
          <w:sz w:val="24"/>
          <w:szCs w:val="24"/>
        </w:rPr>
        <w:t>8</w:t>
      </w:r>
      <w:r w:rsidRPr="00304BD4">
        <w:rPr>
          <w:rFonts w:ascii="Arial" w:hAnsi="Arial" w:cs="Arial"/>
          <w:sz w:val="24"/>
          <w:szCs w:val="24"/>
        </w:rPr>
        <w:tab/>
      </w:r>
      <w:r w:rsidRPr="0022318C">
        <w:rPr>
          <w:rFonts w:ascii="Arial" w:hAnsi="Arial" w:cs="Arial"/>
          <w:b/>
          <w:sz w:val="24"/>
          <w:szCs w:val="24"/>
        </w:rPr>
        <w:t>COMMENTS OF STATUTORY OFFICERS</w:t>
      </w:r>
    </w:p>
    <w:p w:rsidR="00901CBA" w:rsidRDefault="00901CBA" w:rsidP="00901CBA">
      <w:pPr>
        <w:ind w:right="-270"/>
        <w:rPr>
          <w:rFonts w:ascii="Arial" w:hAnsi="Arial" w:cs="Arial"/>
          <w:sz w:val="24"/>
          <w:szCs w:val="24"/>
          <w:u w:val="single"/>
        </w:rPr>
      </w:pPr>
    </w:p>
    <w:p w:rsidR="00901CBA" w:rsidRDefault="00901CBA" w:rsidP="00262954">
      <w:pPr>
        <w:ind w:left="720" w:right="-270"/>
        <w:jc w:val="both"/>
        <w:rPr>
          <w:rFonts w:ascii="Arial" w:hAnsi="Arial" w:cs="Arial"/>
          <w:sz w:val="24"/>
          <w:szCs w:val="24"/>
        </w:rPr>
      </w:pPr>
      <w:r>
        <w:rPr>
          <w:rFonts w:ascii="Arial" w:hAnsi="Arial" w:cs="Arial"/>
          <w:sz w:val="24"/>
          <w:szCs w:val="24"/>
        </w:rPr>
        <w:t>Monitoring Officer –</w:t>
      </w:r>
      <w:r w:rsidR="00323C2F">
        <w:rPr>
          <w:rFonts w:ascii="Arial" w:hAnsi="Arial" w:cs="Arial"/>
          <w:sz w:val="24"/>
          <w:szCs w:val="24"/>
        </w:rPr>
        <w:t xml:space="preserve"> </w:t>
      </w:r>
      <w:r w:rsidR="00D46FC1">
        <w:rPr>
          <w:rFonts w:ascii="Arial" w:hAnsi="Arial" w:cs="Arial"/>
          <w:sz w:val="24"/>
          <w:szCs w:val="24"/>
        </w:rPr>
        <w:t>No specific comments</w:t>
      </w:r>
    </w:p>
    <w:p w:rsidR="00901CBA" w:rsidRDefault="00901CBA" w:rsidP="00901CBA">
      <w:pPr>
        <w:ind w:right="-270"/>
        <w:rPr>
          <w:rFonts w:ascii="Arial" w:hAnsi="Arial" w:cs="Arial"/>
          <w:sz w:val="24"/>
          <w:szCs w:val="24"/>
        </w:rPr>
      </w:pPr>
    </w:p>
    <w:p w:rsidR="00E055DE" w:rsidRDefault="006E0F33" w:rsidP="00E055DE">
      <w:pPr>
        <w:ind w:left="720" w:right="-270"/>
        <w:rPr>
          <w:rFonts w:ascii="Arial" w:hAnsi="Arial" w:cs="Arial"/>
          <w:sz w:val="24"/>
          <w:szCs w:val="24"/>
        </w:rPr>
      </w:pPr>
      <w:r>
        <w:rPr>
          <w:rFonts w:ascii="Arial" w:hAnsi="Arial" w:cs="Arial"/>
          <w:sz w:val="24"/>
          <w:szCs w:val="24"/>
        </w:rPr>
        <w:t xml:space="preserve">Deputy </w:t>
      </w:r>
      <w:r w:rsidR="00901CBA">
        <w:rPr>
          <w:rFonts w:ascii="Arial" w:hAnsi="Arial" w:cs="Arial"/>
          <w:sz w:val="24"/>
          <w:szCs w:val="24"/>
        </w:rPr>
        <w:t>Section 151 Officer –</w:t>
      </w:r>
      <w:r w:rsidR="00D4723E">
        <w:rPr>
          <w:rFonts w:ascii="Arial" w:hAnsi="Arial" w:cs="Arial"/>
          <w:sz w:val="24"/>
          <w:szCs w:val="24"/>
        </w:rPr>
        <w:t xml:space="preserve"> </w:t>
      </w:r>
      <w:r>
        <w:rPr>
          <w:rFonts w:ascii="Arial" w:hAnsi="Arial" w:cs="Arial"/>
          <w:sz w:val="24"/>
          <w:szCs w:val="24"/>
        </w:rPr>
        <w:t>No specific comments</w:t>
      </w:r>
    </w:p>
    <w:p w:rsidR="00530199" w:rsidRDefault="00530199" w:rsidP="00500D46">
      <w:pPr>
        <w:ind w:left="720" w:right="-270"/>
        <w:rPr>
          <w:rFonts w:ascii="Arial" w:hAnsi="Arial" w:cs="Arial"/>
          <w:sz w:val="24"/>
          <w:szCs w:val="24"/>
        </w:rPr>
      </w:pPr>
    </w:p>
    <w:p w:rsidR="00901CBA" w:rsidRDefault="00901CBA" w:rsidP="00901CBA">
      <w:pPr>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rsidR="00901CBA" w:rsidRDefault="00901CBA" w:rsidP="00901CBA">
      <w:pPr>
        <w:ind w:right="-270"/>
        <w:jc w:val="both"/>
        <w:rPr>
          <w:rFonts w:ascii="Arial" w:hAnsi="Arial" w:cs="Arial"/>
          <w:sz w:val="24"/>
          <w:szCs w:val="24"/>
        </w:rPr>
      </w:pPr>
    </w:p>
    <w:p w:rsidR="00901CBA" w:rsidRDefault="00901CBA" w:rsidP="00407244">
      <w:pPr>
        <w:ind w:left="720" w:right="-270" w:hanging="720"/>
        <w:jc w:val="both"/>
        <w:rPr>
          <w:rFonts w:ascii="Arial" w:hAnsi="Arial" w:cs="Arial"/>
          <w:sz w:val="24"/>
          <w:szCs w:val="24"/>
        </w:rPr>
      </w:pPr>
      <w:r>
        <w:rPr>
          <w:rFonts w:ascii="Arial" w:hAnsi="Arial" w:cs="Arial"/>
          <w:sz w:val="24"/>
          <w:szCs w:val="24"/>
        </w:rPr>
        <w:t>9.1</w:t>
      </w:r>
      <w:r>
        <w:rPr>
          <w:rFonts w:ascii="Arial" w:hAnsi="Arial" w:cs="Arial"/>
          <w:sz w:val="24"/>
          <w:szCs w:val="24"/>
        </w:rPr>
        <w:tab/>
      </w:r>
      <w:r w:rsidR="00407244">
        <w:rPr>
          <w:rFonts w:ascii="Arial" w:hAnsi="Arial" w:cs="Arial"/>
          <w:sz w:val="24"/>
          <w:szCs w:val="24"/>
        </w:rPr>
        <w:t>No additional consultation has taken place</w:t>
      </w:r>
      <w:r>
        <w:rPr>
          <w:rFonts w:ascii="Arial" w:hAnsi="Arial" w:cs="Arial"/>
          <w:sz w:val="24"/>
          <w:szCs w:val="24"/>
        </w:rPr>
        <w:t xml:space="preserve"> </w:t>
      </w:r>
    </w:p>
    <w:p w:rsidR="00901CBA" w:rsidRDefault="00901CBA" w:rsidP="00901CBA">
      <w:pPr>
        <w:ind w:right="-270"/>
        <w:jc w:val="both"/>
        <w:rPr>
          <w:rFonts w:ascii="Arial" w:hAnsi="Arial" w:cs="Arial"/>
          <w:sz w:val="24"/>
          <w:szCs w:val="24"/>
        </w:rPr>
      </w:pPr>
    </w:p>
    <w:p w:rsidR="00901CBA" w:rsidRPr="00304BD4" w:rsidRDefault="00901CBA" w:rsidP="00901CBA">
      <w:pPr>
        <w:ind w:right="-270"/>
        <w:rPr>
          <w:rFonts w:ascii="Arial" w:hAnsi="Arial" w:cs="Arial"/>
          <w:sz w:val="24"/>
          <w:szCs w:val="24"/>
          <w:u w:val="single"/>
        </w:rPr>
      </w:pPr>
      <w:r>
        <w:rPr>
          <w:rFonts w:ascii="Arial" w:hAnsi="Arial" w:cs="Arial"/>
          <w:b/>
          <w:sz w:val="24"/>
          <w:szCs w:val="24"/>
        </w:rPr>
        <w:t>10</w:t>
      </w:r>
      <w:r w:rsidRPr="00304BD4">
        <w:rPr>
          <w:rFonts w:ascii="Arial" w:hAnsi="Arial" w:cs="Arial"/>
          <w:sz w:val="24"/>
          <w:szCs w:val="24"/>
        </w:rPr>
        <w:tab/>
      </w:r>
      <w:r w:rsidRPr="0022318C">
        <w:rPr>
          <w:rFonts w:ascii="Arial" w:hAnsi="Arial" w:cs="Arial"/>
          <w:b/>
          <w:sz w:val="24"/>
          <w:szCs w:val="24"/>
        </w:rPr>
        <w:t>BACKGROUND PAPERS</w:t>
      </w:r>
    </w:p>
    <w:p w:rsidR="00901CBA" w:rsidRPr="00304BD4" w:rsidRDefault="00901CBA" w:rsidP="00901CBA">
      <w:pPr>
        <w:ind w:right="-270"/>
        <w:rPr>
          <w:rFonts w:ascii="Arial" w:hAnsi="Arial" w:cs="Arial"/>
          <w:sz w:val="24"/>
          <w:szCs w:val="24"/>
          <w:u w:val="single"/>
        </w:rPr>
      </w:pPr>
    </w:p>
    <w:p w:rsidR="00901CBA" w:rsidRDefault="00901CBA" w:rsidP="00901CBA">
      <w:pPr>
        <w:pStyle w:val="BodyTextIndent"/>
        <w:ind w:left="0" w:right="-270"/>
        <w:rPr>
          <w:rFonts w:ascii="Arial" w:hAnsi="Arial" w:cs="Arial"/>
          <w:szCs w:val="24"/>
        </w:rPr>
      </w:pPr>
      <w:r>
        <w:rPr>
          <w:rFonts w:ascii="Arial" w:hAnsi="Arial" w:cs="Arial"/>
          <w:szCs w:val="24"/>
        </w:rPr>
        <w:tab/>
        <w:t>None</w:t>
      </w:r>
    </w:p>
    <w:p w:rsidR="00407244" w:rsidRDefault="00407244" w:rsidP="00901CBA">
      <w:pPr>
        <w:rPr>
          <w:rFonts w:ascii="Arial"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296"/>
        <w:gridCol w:w="6572"/>
      </w:tblGrid>
      <w:tr w:rsidR="00901CBA" w:rsidRPr="001A5E50" w:rsidTr="003A4AB3">
        <w:tc>
          <w:tcPr>
            <w:tcW w:w="1778" w:type="dxa"/>
            <w:shd w:val="clear" w:color="auto" w:fill="auto"/>
          </w:tcPr>
          <w:p w:rsidR="00901CBA" w:rsidRPr="001A5E50" w:rsidRDefault="00901CBA" w:rsidP="001A5E50">
            <w:pPr>
              <w:jc w:val="both"/>
              <w:rPr>
                <w:rFonts w:ascii="Arial" w:hAnsi="Arial" w:cs="Arial"/>
                <w:sz w:val="24"/>
                <w:szCs w:val="24"/>
              </w:rPr>
            </w:pPr>
            <w:r w:rsidRPr="001A5E50">
              <w:rPr>
                <w:rFonts w:ascii="Arial" w:hAnsi="Arial" w:cs="Arial"/>
                <w:sz w:val="24"/>
                <w:szCs w:val="24"/>
              </w:rPr>
              <w:t>Report Author</w:t>
            </w:r>
          </w:p>
        </w:tc>
        <w:tc>
          <w:tcPr>
            <w:tcW w:w="296" w:type="dxa"/>
            <w:shd w:val="clear" w:color="auto" w:fill="auto"/>
          </w:tcPr>
          <w:p w:rsidR="00901CBA" w:rsidRPr="001A5E50" w:rsidRDefault="00901CBA" w:rsidP="001A5E50">
            <w:pPr>
              <w:jc w:val="both"/>
              <w:rPr>
                <w:rFonts w:ascii="Arial" w:hAnsi="Arial" w:cs="Arial"/>
                <w:sz w:val="24"/>
                <w:szCs w:val="24"/>
              </w:rPr>
            </w:pPr>
            <w:r w:rsidRPr="001A5E50">
              <w:rPr>
                <w:rFonts w:ascii="Arial" w:hAnsi="Arial" w:cs="Arial"/>
                <w:sz w:val="24"/>
                <w:szCs w:val="24"/>
              </w:rPr>
              <w:t>-</w:t>
            </w:r>
          </w:p>
        </w:tc>
        <w:tc>
          <w:tcPr>
            <w:tcW w:w="6782" w:type="dxa"/>
            <w:shd w:val="clear" w:color="auto" w:fill="auto"/>
          </w:tcPr>
          <w:p w:rsidR="00901CBA" w:rsidRPr="001A5E50" w:rsidRDefault="00901CBA" w:rsidP="001A5E50">
            <w:pPr>
              <w:jc w:val="both"/>
              <w:rPr>
                <w:rFonts w:ascii="Arial" w:hAnsi="Arial" w:cs="Arial"/>
                <w:sz w:val="24"/>
                <w:szCs w:val="24"/>
              </w:rPr>
            </w:pPr>
            <w:smartTag w:uri="urn:schemas-microsoft-com:office:smarttags" w:element="PersonName">
              <w:r w:rsidRPr="001A5E50">
                <w:rPr>
                  <w:rFonts w:ascii="Arial" w:hAnsi="Arial" w:cs="Arial"/>
                  <w:sz w:val="24"/>
                  <w:szCs w:val="24"/>
                </w:rPr>
                <w:t>Adrian Pullen</w:t>
              </w:r>
            </w:smartTag>
          </w:p>
        </w:tc>
      </w:tr>
      <w:tr w:rsidR="00901CBA" w:rsidRPr="001A5E50" w:rsidTr="003A4AB3">
        <w:tc>
          <w:tcPr>
            <w:tcW w:w="1778" w:type="dxa"/>
            <w:shd w:val="clear" w:color="auto" w:fill="auto"/>
          </w:tcPr>
          <w:p w:rsidR="00901CBA" w:rsidRPr="001A5E50" w:rsidRDefault="00901CBA" w:rsidP="001A5E50">
            <w:pPr>
              <w:jc w:val="both"/>
              <w:rPr>
                <w:rFonts w:ascii="Arial" w:hAnsi="Arial" w:cs="Arial"/>
                <w:sz w:val="24"/>
                <w:szCs w:val="24"/>
              </w:rPr>
            </w:pPr>
            <w:r w:rsidRPr="001A5E50">
              <w:rPr>
                <w:rFonts w:ascii="Arial" w:hAnsi="Arial" w:cs="Arial"/>
                <w:sz w:val="24"/>
                <w:szCs w:val="24"/>
              </w:rPr>
              <w:t>Designation</w:t>
            </w:r>
          </w:p>
        </w:tc>
        <w:tc>
          <w:tcPr>
            <w:tcW w:w="296" w:type="dxa"/>
            <w:shd w:val="clear" w:color="auto" w:fill="auto"/>
          </w:tcPr>
          <w:p w:rsidR="00901CBA" w:rsidRPr="001A5E50" w:rsidRDefault="00901CBA" w:rsidP="001A5E50">
            <w:pPr>
              <w:jc w:val="both"/>
              <w:rPr>
                <w:rFonts w:ascii="Arial" w:hAnsi="Arial" w:cs="Arial"/>
                <w:sz w:val="24"/>
                <w:szCs w:val="24"/>
              </w:rPr>
            </w:pPr>
            <w:r w:rsidRPr="001A5E50">
              <w:rPr>
                <w:rFonts w:ascii="Arial" w:hAnsi="Arial" w:cs="Arial"/>
                <w:sz w:val="24"/>
                <w:szCs w:val="24"/>
              </w:rPr>
              <w:t>-</w:t>
            </w:r>
          </w:p>
        </w:tc>
        <w:tc>
          <w:tcPr>
            <w:tcW w:w="6782" w:type="dxa"/>
            <w:shd w:val="clear" w:color="auto" w:fill="auto"/>
          </w:tcPr>
          <w:p w:rsidR="00901CBA" w:rsidRPr="001A5E50" w:rsidRDefault="0000639A" w:rsidP="00A42E23">
            <w:pPr>
              <w:jc w:val="both"/>
              <w:rPr>
                <w:rFonts w:ascii="Arial" w:hAnsi="Arial" w:cs="Arial"/>
                <w:sz w:val="24"/>
                <w:szCs w:val="24"/>
              </w:rPr>
            </w:pPr>
            <w:r>
              <w:rPr>
                <w:rFonts w:ascii="Arial" w:hAnsi="Arial" w:cs="Arial"/>
                <w:sz w:val="24"/>
                <w:szCs w:val="24"/>
              </w:rPr>
              <w:t>Corporate</w:t>
            </w:r>
            <w:r w:rsidR="004366A1">
              <w:rPr>
                <w:rFonts w:ascii="Arial" w:hAnsi="Arial" w:cs="Arial"/>
                <w:sz w:val="24"/>
                <w:szCs w:val="24"/>
              </w:rPr>
              <w:t xml:space="preserve"> Assurance </w:t>
            </w:r>
            <w:r w:rsidR="00901CBA" w:rsidRPr="001A5E50">
              <w:rPr>
                <w:rFonts w:ascii="Arial" w:hAnsi="Arial" w:cs="Arial"/>
                <w:sz w:val="24"/>
                <w:szCs w:val="24"/>
              </w:rPr>
              <w:t>Manager</w:t>
            </w:r>
          </w:p>
        </w:tc>
      </w:tr>
      <w:tr w:rsidR="00901CBA" w:rsidRPr="001A5E50" w:rsidTr="003A4AB3">
        <w:tc>
          <w:tcPr>
            <w:tcW w:w="1778" w:type="dxa"/>
            <w:shd w:val="clear" w:color="auto" w:fill="auto"/>
          </w:tcPr>
          <w:p w:rsidR="00901CBA" w:rsidRPr="001A5E50" w:rsidRDefault="00901CBA" w:rsidP="001A5E50">
            <w:pPr>
              <w:jc w:val="both"/>
              <w:rPr>
                <w:rFonts w:ascii="Arial" w:hAnsi="Arial" w:cs="Arial"/>
                <w:sz w:val="24"/>
                <w:szCs w:val="24"/>
              </w:rPr>
            </w:pPr>
            <w:r w:rsidRPr="001A5E50">
              <w:rPr>
                <w:rFonts w:ascii="Arial" w:hAnsi="Arial" w:cs="Arial"/>
                <w:sz w:val="24"/>
                <w:szCs w:val="24"/>
              </w:rPr>
              <w:t>Telephone</w:t>
            </w:r>
          </w:p>
        </w:tc>
        <w:tc>
          <w:tcPr>
            <w:tcW w:w="296" w:type="dxa"/>
            <w:shd w:val="clear" w:color="auto" w:fill="auto"/>
          </w:tcPr>
          <w:p w:rsidR="00901CBA" w:rsidRPr="001A5E50" w:rsidRDefault="00901CBA" w:rsidP="001A5E50">
            <w:pPr>
              <w:jc w:val="both"/>
              <w:rPr>
                <w:rFonts w:ascii="Arial" w:hAnsi="Arial" w:cs="Arial"/>
                <w:sz w:val="24"/>
                <w:szCs w:val="24"/>
              </w:rPr>
            </w:pPr>
            <w:r w:rsidRPr="001A5E50">
              <w:rPr>
                <w:rFonts w:ascii="Arial" w:hAnsi="Arial" w:cs="Arial"/>
                <w:sz w:val="24"/>
                <w:szCs w:val="24"/>
              </w:rPr>
              <w:t>-</w:t>
            </w:r>
          </w:p>
        </w:tc>
        <w:tc>
          <w:tcPr>
            <w:tcW w:w="6782" w:type="dxa"/>
            <w:shd w:val="clear" w:color="auto" w:fill="auto"/>
          </w:tcPr>
          <w:p w:rsidR="00901CBA" w:rsidRPr="001A5E50" w:rsidRDefault="00901CBA" w:rsidP="001A5E50">
            <w:pPr>
              <w:jc w:val="both"/>
              <w:rPr>
                <w:rFonts w:ascii="Arial" w:hAnsi="Arial" w:cs="Arial"/>
                <w:sz w:val="24"/>
                <w:szCs w:val="24"/>
              </w:rPr>
            </w:pPr>
            <w:r w:rsidRPr="001A5E50">
              <w:rPr>
                <w:rFonts w:ascii="Arial" w:hAnsi="Arial" w:cs="Arial"/>
                <w:sz w:val="24"/>
                <w:szCs w:val="24"/>
              </w:rPr>
              <w:t>01623 463017</w:t>
            </w:r>
          </w:p>
        </w:tc>
      </w:tr>
      <w:tr w:rsidR="00901CBA" w:rsidRPr="001A5E50" w:rsidTr="003A4AB3">
        <w:tc>
          <w:tcPr>
            <w:tcW w:w="1778" w:type="dxa"/>
            <w:shd w:val="clear" w:color="auto" w:fill="auto"/>
          </w:tcPr>
          <w:p w:rsidR="00901CBA" w:rsidRPr="001A5E50" w:rsidRDefault="00901CBA" w:rsidP="001A5E50">
            <w:pPr>
              <w:jc w:val="both"/>
              <w:rPr>
                <w:rFonts w:ascii="Arial" w:hAnsi="Arial" w:cs="Arial"/>
                <w:sz w:val="24"/>
                <w:szCs w:val="24"/>
              </w:rPr>
            </w:pPr>
            <w:r w:rsidRPr="001A5E50">
              <w:rPr>
                <w:rFonts w:ascii="Arial" w:hAnsi="Arial" w:cs="Arial"/>
                <w:sz w:val="24"/>
                <w:szCs w:val="24"/>
              </w:rPr>
              <w:t>E-mail</w:t>
            </w:r>
          </w:p>
        </w:tc>
        <w:tc>
          <w:tcPr>
            <w:tcW w:w="296" w:type="dxa"/>
            <w:shd w:val="clear" w:color="auto" w:fill="auto"/>
          </w:tcPr>
          <w:p w:rsidR="00901CBA" w:rsidRPr="001A5E50" w:rsidRDefault="00901CBA" w:rsidP="001A5E50">
            <w:pPr>
              <w:jc w:val="both"/>
              <w:rPr>
                <w:rFonts w:ascii="Arial" w:hAnsi="Arial" w:cs="Arial"/>
                <w:sz w:val="24"/>
                <w:szCs w:val="24"/>
              </w:rPr>
            </w:pPr>
            <w:r w:rsidRPr="001A5E50">
              <w:rPr>
                <w:rFonts w:ascii="Arial" w:hAnsi="Arial" w:cs="Arial"/>
                <w:sz w:val="24"/>
                <w:szCs w:val="24"/>
              </w:rPr>
              <w:t>-</w:t>
            </w:r>
          </w:p>
        </w:tc>
        <w:tc>
          <w:tcPr>
            <w:tcW w:w="6782" w:type="dxa"/>
            <w:shd w:val="clear" w:color="auto" w:fill="auto"/>
          </w:tcPr>
          <w:p w:rsidR="00901CBA" w:rsidRPr="001A5E50" w:rsidRDefault="00901CBA" w:rsidP="001A5E50">
            <w:pPr>
              <w:jc w:val="both"/>
              <w:rPr>
                <w:rFonts w:ascii="Arial" w:hAnsi="Arial" w:cs="Arial"/>
                <w:sz w:val="24"/>
                <w:szCs w:val="24"/>
              </w:rPr>
            </w:pPr>
            <w:r w:rsidRPr="001A5E50">
              <w:rPr>
                <w:rFonts w:ascii="Arial" w:hAnsi="Arial" w:cs="Arial"/>
                <w:sz w:val="24"/>
                <w:szCs w:val="24"/>
              </w:rPr>
              <w:t>apullen@Mansfield.gov.uk</w:t>
            </w:r>
          </w:p>
        </w:tc>
      </w:tr>
    </w:tbl>
    <w:p w:rsidR="00C82946" w:rsidRPr="00304BD4" w:rsidRDefault="00C82946" w:rsidP="00F24133">
      <w:pPr>
        <w:jc w:val="both"/>
      </w:pPr>
    </w:p>
    <w:sectPr w:rsidR="00C82946" w:rsidRPr="00304BD4" w:rsidSect="00A131DA">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C9A" w:rsidRDefault="00750C9A">
      <w:r>
        <w:separator/>
      </w:r>
    </w:p>
  </w:endnote>
  <w:endnote w:type="continuationSeparator" w:id="0">
    <w:p w:rsidR="00750C9A" w:rsidRDefault="0075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C9A" w:rsidRDefault="00750C9A">
      <w:r>
        <w:separator/>
      </w:r>
    </w:p>
  </w:footnote>
  <w:footnote w:type="continuationSeparator" w:id="0">
    <w:p w:rsidR="00750C9A" w:rsidRDefault="00750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6477"/>
    <w:multiLevelType w:val="multilevel"/>
    <w:tmpl w:val="5FDCEC64"/>
    <w:lvl w:ilvl="0">
      <w:start w:val="1"/>
      <w:numFmt w:val="decimal"/>
      <w:pStyle w:val="Heading5"/>
      <w:lvlText w:val="%1"/>
      <w:lvlJc w:val="left"/>
      <w:pPr>
        <w:tabs>
          <w:tab w:val="num" w:pos="720"/>
        </w:tabs>
        <w:ind w:left="720" w:hanging="720"/>
      </w:pPr>
      <w:rPr>
        <w:rFonts w:hint="default"/>
        <w:u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E31578"/>
    <w:multiLevelType w:val="multilevel"/>
    <w:tmpl w:val="867005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BE6150"/>
    <w:multiLevelType w:val="hybridMultilevel"/>
    <w:tmpl w:val="7F684870"/>
    <w:lvl w:ilvl="0" w:tplc="3A60CBAE">
      <w:start w:val="5"/>
      <w:numFmt w:val="lowerRoman"/>
      <w:lvlText w:val="%1)"/>
      <w:lvlJc w:val="left"/>
      <w:pPr>
        <w:tabs>
          <w:tab w:val="num" w:pos="862"/>
        </w:tabs>
        <w:ind w:left="862" w:hanging="72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4" w15:restartNumberingAfterBreak="0">
    <w:nsid w:val="521B1E6A"/>
    <w:multiLevelType w:val="hybridMultilevel"/>
    <w:tmpl w:val="E6166526"/>
    <w:lvl w:ilvl="0" w:tplc="0809000B">
      <w:start w:val="1"/>
      <w:numFmt w:val="bullet"/>
      <w:lvlText w:val=""/>
      <w:lvlJc w:val="left"/>
      <w:pPr>
        <w:ind w:left="855" w:hanging="360"/>
      </w:pPr>
      <w:rPr>
        <w:rFonts w:ascii="Wingdings" w:hAnsi="Wingdings" w:hint="default"/>
      </w:rPr>
    </w:lvl>
    <w:lvl w:ilvl="1" w:tplc="08090003">
      <w:start w:val="1"/>
      <w:numFmt w:val="bullet"/>
      <w:lvlText w:val="o"/>
      <w:lvlJc w:val="left"/>
      <w:pPr>
        <w:ind w:left="1575" w:hanging="360"/>
      </w:pPr>
      <w:rPr>
        <w:rFonts w:ascii="Courier New" w:hAnsi="Courier New" w:cs="Courier New" w:hint="default"/>
      </w:rPr>
    </w:lvl>
    <w:lvl w:ilvl="2" w:tplc="08090005">
      <w:start w:val="1"/>
      <w:numFmt w:val="bullet"/>
      <w:lvlText w:val=""/>
      <w:lvlJc w:val="left"/>
      <w:pPr>
        <w:ind w:left="2295" w:hanging="360"/>
      </w:pPr>
      <w:rPr>
        <w:rFonts w:ascii="Wingdings" w:hAnsi="Wingdings" w:hint="default"/>
      </w:rPr>
    </w:lvl>
    <w:lvl w:ilvl="3" w:tplc="08090001">
      <w:start w:val="1"/>
      <w:numFmt w:val="bullet"/>
      <w:lvlText w:val=""/>
      <w:lvlJc w:val="left"/>
      <w:pPr>
        <w:ind w:left="3015" w:hanging="360"/>
      </w:pPr>
      <w:rPr>
        <w:rFonts w:ascii="Symbol" w:hAnsi="Symbol" w:hint="default"/>
      </w:rPr>
    </w:lvl>
    <w:lvl w:ilvl="4" w:tplc="08090003">
      <w:start w:val="1"/>
      <w:numFmt w:val="bullet"/>
      <w:lvlText w:val="o"/>
      <w:lvlJc w:val="left"/>
      <w:pPr>
        <w:ind w:left="3735" w:hanging="360"/>
      </w:pPr>
      <w:rPr>
        <w:rFonts w:ascii="Courier New" w:hAnsi="Courier New" w:cs="Courier New" w:hint="default"/>
      </w:rPr>
    </w:lvl>
    <w:lvl w:ilvl="5" w:tplc="08090005">
      <w:start w:val="1"/>
      <w:numFmt w:val="bullet"/>
      <w:lvlText w:val=""/>
      <w:lvlJc w:val="left"/>
      <w:pPr>
        <w:ind w:left="4455" w:hanging="360"/>
      </w:pPr>
      <w:rPr>
        <w:rFonts w:ascii="Wingdings" w:hAnsi="Wingdings" w:hint="default"/>
      </w:rPr>
    </w:lvl>
    <w:lvl w:ilvl="6" w:tplc="08090001">
      <w:start w:val="1"/>
      <w:numFmt w:val="bullet"/>
      <w:lvlText w:val=""/>
      <w:lvlJc w:val="left"/>
      <w:pPr>
        <w:ind w:left="5175" w:hanging="360"/>
      </w:pPr>
      <w:rPr>
        <w:rFonts w:ascii="Symbol" w:hAnsi="Symbol" w:hint="default"/>
      </w:rPr>
    </w:lvl>
    <w:lvl w:ilvl="7" w:tplc="08090003">
      <w:start w:val="1"/>
      <w:numFmt w:val="bullet"/>
      <w:lvlText w:val="o"/>
      <w:lvlJc w:val="left"/>
      <w:pPr>
        <w:ind w:left="5895" w:hanging="360"/>
      </w:pPr>
      <w:rPr>
        <w:rFonts w:ascii="Courier New" w:hAnsi="Courier New" w:cs="Courier New" w:hint="default"/>
      </w:rPr>
    </w:lvl>
    <w:lvl w:ilvl="8" w:tplc="08090005">
      <w:start w:val="1"/>
      <w:numFmt w:val="bullet"/>
      <w:lvlText w:val=""/>
      <w:lvlJc w:val="left"/>
      <w:pPr>
        <w:ind w:left="6615" w:hanging="360"/>
      </w:pPr>
      <w:rPr>
        <w:rFonts w:ascii="Wingdings" w:hAnsi="Wingdings" w:hint="default"/>
      </w:rPr>
    </w:lvl>
  </w:abstractNum>
  <w:abstractNum w:abstractNumId="5" w15:restartNumberingAfterBreak="0">
    <w:nsid w:val="61332119"/>
    <w:multiLevelType w:val="hybridMultilevel"/>
    <w:tmpl w:val="C8B0A2C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4A1E21"/>
    <w:multiLevelType w:val="hybridMultilevel"/>
    <w:tmpl w:val="6B7E1722"/>
    <w:lvl w:ilvl="0" w:tplc="C4100B6C">
      <w:start w:val="1"/>
      <w:numFmt w:val="lowerRoman"/>
      <w:lvlText w:val="%1)"/>
      <w:lvlJc w:val="left"/>
      <w:pPr>
        <w:tabs>
          <w:tab w:val="num" w:pos="889"/>
        </w:tabs>
        <w:ind w:left="889" w:hanging="720"/>
      </w:pPr>
      <w:rPr>
        <w:rFonts w:hint="default"/>
      </w:rPr>
    </w:lvl>
    <w:lvl w:ilvl="1" w:tplc="08090019" w:tentative="1">
      <w:start w:val="1"/>
      <w:numFmt w:val="lowerLetter"/>
      <w:lvlText w:val="%2."/>
      <w:lvlJc w:val="left"/>
      <w:pPr>
        <w:tabs>
          <w:tab w:val="num" w:pos="1249"/>
        </w:tabs>
        <w:ind w:left="1249" w:hanging="360"/>
      </w:pPr>
    </w:lvl>
    <w:lvl w:ilvl="2" w:tplc="0809001B" w:tentative="1">
      <w:start w:val="1"/>
      <w:numFmt w:val="lowerRoman"/>
      <w:lvlText w:val="%3."/>
      <w:lvlJc w:val="right"/>
      <w:pPr>
        <w:tabs>
          <w:tab w:val="num" w:pos="1969"/>
        </w:tabs>
        <w:ind w:left="1969" w:hanging="180"/>
      </w:pPr>
    </w:lvl>
    <w:lvl w:ilvl="3" w:tplc="0809000F" w:tentative="1">
      <w:start w:val="1"/>
      <w:numFmt w:val="decimal"/>
      <w:lvlText w:val="%4."/>
      <w:lvlJc w:val="left"/>
      <w:pPr>
        <w:tabs>
          <w:tab w:val="num" w:pos="2689"/>
        </w:tabs>
        <w:ind w:left="2689" w:hanging="360"/>
      </w:pPr>
    </w:lvl>
    <w:lvl w:ilvl="4" w:tplc="08090019" w:tentative="1">
      <w:start w:val="1"/>
      <w:numFmt w:val="lowerLetter"/>
      <w:lvlText w:val="%5."/>
      <w:lvlJc w:val="left"/>
      <w:pPr>
        <w:tabs>
          <w:tab w:val="num" w:pos="3409"/>
        </w:tabs>
        <w:ind w:left="3409" w:hanging="360"/>
      </w:pPr>
    </w:lvl>
    <w:lvl w:ilvl="5" w:tplc="0809001B" w:tentative="1">
      <w:start w:val="1"/>
      <w:numFmt w:val="lowerRoman"/>
      <w:lvlText w:val="%6."/>
      <w:lvlJc w:val="right"/>
      <w:pPr>
        <w:tabs>
          <w:tab w:val="num" w:pos="4129"/>
        </w:tabs>
        <w:ind w:left="4129" w:hanging="180"/>
      </w:pPr>
    </w:lvl>
    <w:lvl w:ilvl="6" w:tplc="0809000F" w:tentative="1">
      <w:start w:val="1"/>
      <w:numFmt w:val="decimal"/>
      <w:lvlText w:val="%7."/>
      <w:lvlJc w:val="left"/>
      <w:pPr>
        <w:tabs>
          <w:tab w:val="num" w:pos="4849"/>
        </w:tabs>
        <w:ind w:left="4849" w:hanging="360"/>
      </w:pPr>
    </w:lvl>
    <w:lvl w:ilvl="7" w:tplc="08090019" w:tentative="1">
      <w:start w:val="1"/>
      <w:numFmt w:val="lowerLetter"/>
      <w:lvlText w:val="%8."/>
      <w:lvlJc w:val="left"/>
      <w:pPr>
        <w:tabs>
          <w:tab w:val="num" w:pos="5569"/>
        </w:tabs>
        <w:ind w:left="5569" w:hanging="360"/>
      </w:pPr>
    </w:lvl>
    <w:lvl w:ilvl="8" w:tplc="0809001B" w:tentative="1">
      <w:start w:val="1"/>
      <w:numFmt w:val="lowerRoman"/>
      <w:lvlText w:val="%9."/>
      <w:lvlJc w:val="right"/>
      <w:pPr>
        <w:tabs>
          <w:tab w:val="num" w:pos="6289"/>
        </w:tabs>
        <w:ind w:left="6289" w:hanging="180"/>
      </w:pPr>
    </w:lvl>
  </w:abstractNum>
  <w:abstractNum w:abstractNumId="8" w15:restartNumberingAfterBreak="0">
    <w:nsid w:val="7A0A1C0E"/>
    <w:multiLevelType w:val="hybridMultilevel"/>
    <w:tmpl w:val="E556B2D2"/>
    <w:lvl w:ilvl="0" w:tplc="375AED9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C1C127F"/>
    <w:multiLevelType w:val="hybridMultilevel"/>
    <w:tmpl w:val="AF14480C"/>
    <w:lvl w:ilvl="0" w:tplc="08090001">
      <w:start w:val="1"/>
      <w:numFmt w:val="bullet"/>
      <w:lvlText w:val=""/>
      <w:lvlJc w:val="left"/>
      <w:pPr>
        <w:tabs>
          <w:tab w:val="num" w:pos="790"/>
        </w:tabs>
        <w:ind w:left="790" w:hanging="360"/>
      </w:pPr>
      <w:rPr>
        <w:rFonts w:ascii="Symbol" w:hAnsi="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9"/>
  </w:num>
  <w:num w:numId="6">
    <w:abstractNumId w:val="5"/>
  </w:num>
  <w:num w:numId="7">
    <w:abstractNumId w:val="7"/>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1295"/>
    <w:rsid w:val="0000639A"/>
    <w:rsid w:val="0001487D"/>
    <w:rsid w:val="000151CF"/>
    <w:rsid w:val="00015B69"/>
    <w:rsid w:val="00015CCD"/>
    <w:rsid w:val="00020D31"/>
    <w:rsid w:val="0002254E"/>
    <w:rsid w:val="00035950"/>
    <w:rsid w:val="000408B6"/>
    <w:rsid w:val="00041B95"/>
    <w:rsid w:val="000455EC"/>
    <w:rsid w:val="0004691D"/>
    <w:rsid w:val="00046D85"/>
    <w:rsid w:val="00047FE9"/>
    <w:rsid w:val="00055646"/>
    <w:rsid w:val="00056AA2"/>
    <w:rsid w:val="00060AA8"/>
    <w:rsid w:val="000626B9"/>
    <w:rsid w:val="00062E54"/>
    <w:rsid w:val="0007659F"/>
    <w:rsid w:val="00080FF2"/>
    <w:rsid w:val="0008137E"/>
    <w:rsid w:val="0009348D"/>
    <w:rsid w:val="0009471C"/>
    <w:rsid w:val="00096D06"/>
    <w:rsid w:val="000A03D5"/>
    <w:rsid w:val="000A1ABD"/>
    <w:rsid w:val="000A2067"/>
    <w:rsid w:val="000A4234"/>
    <w:rsid w:val="000A5DEF"/>
    <w:rsid w:val="000A6A7F"/>
    <w:rsid w:val="000B07A6"/>
    <w:rsid w:val="000B2A10"/>
    <w:rsid w:val="000B34FF"/>
    <w:rsid w:val="000B3C86"/>
    <w:rsid w:val="000C27E5"/>
    <w:rsid w:val="000C3AA5"/>
    <w:rsid w:val="000C5841"/>
    <w:rsid w:val="000C776C"/>
    <w:rsid w:val="000D5D32"/>
    <w:rsid w:val="000E08E0"/>
    <w:rsid w:val="000E2279"/>
    <w:rsid w:val="000E3A19"/>
    <w:rsid w:val="000E507E"/>
    <w:rsid w:val="000F1909"/>
    <w:rsid w:val="000F6559"/>
    <w:rsid w:val="00100CC4"/>
    <w:rsid w:val="00101D45"/>
    <w:rsid w:val="00104551"/>
    <w:rsid w:val="00110459"/>
    <w:rsid w:val="00110853"/>
    <w:rsid w:val="00110E53"/>
    <w:rsid w:val="00113450"/>
    <w:rsid w:val="00120360"/>
    <w:rsid w:val="00120595"/>
    <w:rsid w:val="00137D93"/>
    <w:rsid w:val="0014022D"/>
    <w:rsid w:val="00141D90"/>
    <w:rsid w:val="001457B1"/>
    <w:rsid w:val="0014632D"/>
    <w:rsid w:val="001527D7"/>
    <w:rsid w:val="00164576"/>
    <w:rsid w:val="00174A69"/>
    <w:rsid w:val="0018092B"/>
    <w:rsid w:val="0018267A"/>
    <w:rsid w:val="001849F8"/>
    <w:rsid w:val="001942AF"/>
    <w:rsid w:val="00194AF1"/>
    <w:rsid w:val="00197692"/>
    <w:rsid w:val="00197CBE"/>
    <w:rsid w:val="001A5E50"/>
    <w:rsid w:val="001B2720"/>
    <w:rsid w:val="001C352D"/>
    <w:rsid w:val="001C394B"/>
    <w:rsid w:val="001C47B0"/>
    <w:rsid w:val="001D3E5A"/>
    <w:rsid w:val="001D55B4"/>
    <w:rsid w:val="001D6139"/>
    <w:rsid w:val="001D78DD"/>
    <w:rsid w:val="001E5A94"/>
    <w:rsid w:val="001E72F6"/>
    <w:rsid w:val="001F2074"/>
    <w:rsid w:val="001F4873"/>
    <w:rsid w:val="001F4970"/>
    <w:rsid w:val="001F7247"/>
    <w:rsid w:val="002017E9"/>
    <w:rsid w:val="002033DC"/>
    <w:rsid w:val="0020505A"/>
    <w:rsid w:val="00206017"/>
    <w:rsid w:val="00206E51"/>
    <w:rsid w:val="0021448E"/>
    <w:rsid w:val="00217981"/>
    <w:rsid w:val="00223F02"/>
    <w:rsid w:val="00225CFA"/>
    <w:rsid w:val="00226220"/>
    <w:rsid w:val="0022732F"/>
    <w:rsid w:val="00230C37"/>
    <w:rsid w:val="00232834"/>
    <w:rsid w:val="002427C2"/>
    <w:rsid w:val="00243BF6"/>
    <w:rsid w:val="00244CF0"/>
    <w:rsid w:val="00245469"/>
    <w:rsid w:val="0024732D"/>
    <w:rsid w:val="00251F2D"/>
    <w:rsid w:val="00254749"/>
    <w:rsid w:val="00262954"/>
    <w:rsid w:val="00263185"/>
    <w:rsid w:val="0026580A"/>
    <w:rsid w:val="00265E43"/>
    <w:rsid w:val="00274BBD"/>
    <w:rsid w:val="00280948"/>
    <w:rsid w:val="00282DD6"/>
    <w:rsid w:val="002844C5"/>
    <w:rsid w:val="0028654C"/>
    <w:rsid w:val="00290B15"/>
    <w:rsid w:val="002A1ABC"/>
    <w:rsid w:val="002A2570"/>
    <w:rsid w:val="002A4355"/>
    <w:rsid w:val="002A43D5"/>
    <w:rsid w:val="002A46AA"/>
    <w:rsid w:val="002A50CE"/>
    <w:rsid w:val="002B26B6"/>
    <w:rsid w:val="002B31C4"/>
    <w:rsid w:val="002B54F9"/>
    <w:rsid w:val="002C1B88"/>
    <w:rsid w:val="002C6038"/>
    <w:rsid w:val="002D459D"/>
    <w:rsid w:val="002D5368"/>
    <w:rsid w:val="002D6CEE"/>
    <w:rsid w:val="002E16EA"/>
    <w:rsid w:val="002E3090"/>
    <w:rsid w:val="002E3CCF"/>
    <w:rsid w:val="002E46AD"/>
    <w:rsid w:val="002F242B"/>
    <w:rsid w:val="002F2618"/>
    <w:rsid w:val="002F3CD4"/>
    <w:rsid w:val="002F407B"/>
    <w:rsid w:val="002F5703"/>
    <w:rsid w:val="00304BD4"/>
    <w:rsid w:val="003050D8"/>
    <w:rsid w:val="00310401"/>
    <w:rsid w:val="00310B69"/>
    <w:rsid w:val="00313039"/>
    <w:rsid w:val="00313D0D"/>
    <w:rsid w:val="003160EB"/>
    <w:rsid w:val="00320720"/>
    <w:rsid w:val="00321114"/>
    <w:rsid w:val="0032198C"/>
    <w:rsid w:val="00323C2F"/>
    <w:rsid w:val="00324F60"/>
    <w:rsid w:val="0033094A"/>
    <w:rsid w:val="00332CC4"/>
    <w:rsid w:val="0033482E"/>
    <w:rsid w:val="00335AED"/>
    <w:rsid w:val="00340185"/>
    <w:rsid w:val="00343B8F"/>
    <w:rsid w:val="00345FDC"/>
    <w:rsid w:val="0035114D"/>
    <w:rsid w:val="0035297F"/>
    <w:rsid w:val="003535A4"/>
    <w:rsid w:val="00353728"/>
    <w:rsid w:val="00354AA0"/>
    <w:rsid w:val="0036208E"/>
    <w:rsid w:val="0036657C"/>
    <w:rsid w:val="0036694C"/>
    <w:rsid w:val="003678B4"/>
    <w:rsid w:val="003731B0"/>
    <w:rsid w:val="003843DB"/>
    <w:rsid w:val="003848E2"/>
    <w:rsid w:val="003853E6"/>
    <w:rsid w:val="00391277"/>
    <w:rsid w:val="00393A96"/>
    <w:rsid w:val="00395D0E"/>
    <w:rsid w:val="00396BB6"/>
    <w:rsid w:val="003A263B"/>
    <w:rsid w:val="003A4AB3"/>
    <w:rsid w:val="003A5476"/>
    <w:rsid w:val="003A6068"/>
    <w:rsid w:val="003A77FD"/>
    <w:rsid w:val="003A7B38"/>
    <w:rsid w:val="003B62A2"/>
    <w:rsid w:val="003B7192"/>
    <w:rsid w:val="003C28D2"/>
    <w:rsid w:val="003C3F64"/>
    <w:rsid w:val="003C4831"/>
    <w:rsid w:val="003C6675"/>
    <w:rsid w:val="003D78DA"/>
    <w:rsid w:val="003E05FE"/>
    <w:rsid w:val="003E0960"/>
    <w:rsid w:val="003E0D1C"/>
    <w:rsid w:val="003E6D0F"/>
    <w:rsid w:val="003F1539"/>
    <w:rsid w:val="003F218D"/>
    <w:rsid w:val="004004CF"/>
    <w:rsid w:val="00407244"/>
    <w:rsid w:val="00410851"/>
    <w:rsid w:val="00412D68"/>
    <w:rsid w:val="004144FE"/>
    <w:rsid w:val="00421FAD"/>
    <w:rsid w:val="004254C0"/>
    <w:rsid w:val="00434294"/>
    <w:rsid w:val="00434474"/>
    <w:rsid w:val="00434865"/>
    <w:rsid w:val="0043507B"/>
    <w:rsid w:val="004366A1"/>
    <w:rsid w:val="00440BB1"/>
    <w:rsid w:val="0044179E"/>
    <w:rsid w:val="00441802"/>
    <w:rsid w:val="00441B43"/>
    <w:rsid w:val="0044388C"/>
    <w:rsid w:val="0044738A"/>
    <w:rsid w:val="00454C24"/>
    <w:rsid w:val="0045515D"/>
    <w:rsid w:val="004575E5"/>
    <w:rsid w:val="00460699"/>
    <w:rsid w:val="004633B1"/>
    <w:rsid w:val="00474B39"/>
    <w:rsid w:val="00477B94"/>
    <w:rsid w:val="00485D1C"/>
    <w:rsid w:val="00486B00"/>
    <w:rsid w:val="004925B0"/>
    <w:rsid w:val="004A01E1"/>
    <w:rsid w:val="004A3A42"/>
    <w:rsid w:val="004A464D"/>
    <w:rsid w:val="004A7488"/>
    <w:rsid w:val="004B249A"/>
    <w:rsid w:val="004B3F75"/>
    <w:rsid w:val="004B4D85"/>
    <w:rsid w:val="004C2CA1"/>
    <w:rsid w:val="004C45C4"/>
    <w:rsid w:val="004C52F0"/>
    <w:rsid w:val="004C6BC8"/>
    <w:rsid w:val="004E355F"/>
    <w:rsid w:val="004E62A5"/>
    <w:rsid w:val="004E7C41"/>
    <w:rsid w:val="004F3A26"/>
    <w:rsid w:val="004F3EF6"/>
    <w:rsid w:val="004F49CB"/>
    <w:rsid w:val="004F7641"/>
    <w:rsid w:val="00500235"/>
    <w:rsid w:val="00500D46"/>
    <w:rsid w:val="005015D8"/>
    <w:rsid w:val="00502C72"/>
    <w:rsid w:val="00503D37"/>
    <w:rsid w:val="00505C49"/>
    <w:rsid w:val="00505E35"/>
    <w:rsid w:val="00506E26"/>
    <w:rsid w:val="005077C8"/>
    <w:rsid w:val="00510CFB"/>
    <w:rsid w:val="0051130E"/>
    <w:rsid w:val="0051200D"/>
    <w:rsid w:val="00515D21"/>
    <w:rsid w:val="0051689D"/>
    <w:rsid w:val="0052077B"/>
    <w:rsid w:val="005208AD"/>
    <w:rsid w:val="00520C8A"/>
    <w:rsid w:val="0052421C"/>
    <w:rsid w:val="00526AD9"/>
    <w:rsid w:val="00530199"/>
    <w:rsid w:val="005328C9"/>
    <w:rsid w:val="00535860"/>
    <w:rsid w:val="0053658F"/>
    <w:rsid w:val="00540588"/>
    <w:rsid w:val="00540EE3"/>
    <w:rsid w:val="005440D9"/>
    <w:rsid w:val="00545B8D"/>
    <w:rsid w:val="0056185C"/>
    <w:rsid w:val="00561AEF"/>
    <w:rsid w:val="00564A43"/>
    <w:rsid w:val="0056656D"/>
    <w:rsid w:val="00573D7B"/>
    <w:rsid w:val="00575430"/>
    <w:rsid w:val="005763D9"/>
    <w:rsid w:val="00576573"/>
    <w:rsid w:val="005769B8"/>
    <w:rsid w:val="005769EE"/>
    <w:rsid w:val="00580070"/>
    <w:rsid w:val="005829A6"/>
    <w:rsid w:val="00583947"/>
    <w:rsid w:val="00583FFD"/>
    <w:rsid w:val="00584E7B"/>
    <w:rsid w:val="00585FEF"/>
    <w:rsid w:val="00590E41"/>
    <w:rsid w:val="00591D3D"/>
    <w:rsid w:val="00595F06"/>
    <w:rsid w:val="005A5FE8"/>
    <w:rsid w:val="005B22DB"/>
    <w:rsid w:val="005B2448"/>
    <w:rsid w:val="005B3A80"/>
    <w:rsid w:val="005B69CD"/>
    <w:rsid w:val="005B712B"/>
    <w:rsid w:val="005C150E"/>
    <w:rsid w:val="005C189A"/>
    <w:rsid w:val="005C2014"/>
    <w:rsid w:val="005C6476"/>
    <w:rsid w:val="005D12A2"/>
    <w:rsid w:val="005D5221"/>
    <w:rsid w:val="005D7F65"/>
    <w:rsid w:val="005E4B4A"/>
    <w:rsid w:val="005E5A38"/>
    <w:rsid w:val="005E7F58"/>
    <w:rsid w:val="005F4424"/>
    <w:rsid w:val="005F66BE"/>
    <w:rsid w:val="005F6731"/>
    <w:rsid w:val="006066D2"/>
    <w:rsid w:val="00606D36"/>
    <w:rsid w:val="00607C5C"/>
    <w:rsid w:val="00611638"/>
    <w:rsid w:val="006140A3"/>
    <w:rsid w:val="006206B3"/>
    <w:rsid w:val="006223B1"/>
    <w:rsid w:val="00622D11"/>
    <w:rsid w:val="006242FA"/>
    <w:rsid w:val="00630936"/>
    <w:rsid w:val="006309AF"/>
    <w:rsid w:val="00645D93"/>
    <w:rsid w:val="00650913"/>
    <w:rsid w:val="00651423"/>
    <w:rsid w:val="00651D1A"/>
    <w:rsid w:val="00657DBF"/>
    <w:rsid w:val="00660567"/>
    <w:rsid w:val="006627F6"/>
    <w:rsid w:val="00665E19"/>
    <w:rsid w:val="00667205"/>
    <w:rsid w:val="00671079"/>
    <w:rsid w:val="006757A3"/>
    <w:rsid w:val="0068069D"/>
    <w:rsid w:val="00681792"/>
    <w:rsid w:val="0068404E"/>
    <w:rsid w:val="00686C3C"/>
    <w:rsid w:val="00692CA2"/>
    <w:rsid w:val="006A6306"/>
    <w:rsid w:val="006A6572"/>
    <w:rsid w:val="006B0671"/>
    <w:rsid w:val="006B3FE0"/>
    <w:rsid w:val="006B4ADC"/>
    <w:rsid w:val="006B648F"/>
    <w:rsid w:val="006B79D0"/>
    <w:rsid w:val="006B7A4D"/>
    <w:rsid w:val="006C0B99"/>
    <w:rsid w:val="006C7584"/>
    <w:rsid w:val="006D0375"/>
    <w:rsid w:val="006D2419"/>
    <w:rsid w:val="006D25A6"/>
    <w:rsid w:val="006D29CD"/>
    <w:rsid w:val="006D307C"/>
    <w:rsid w:val="006E047D"/>
    <w:rsid w:val="006E0939"/>
    <w:rsid w:val="006E0F33"/>
    <w:rsid w:val="006E3538"/>
    <w:rsid w:val="006F171F"/>
    <w:rsid w:val="006F1BAB"/>
    <w:rsid w:val="006F2A80"/>
    <w:rsid w:val="006F33C9"/>
    <w:rsid w:val="006F454D"/>
    <w:rsid w:val="006F4DA4"/>
    <w:rsid w:val="006F5AB0"/>
    <w:rsid w:val="006F62AA"/>
    <w:rsid w:val="006F7363"/>
    <w:rsid w:val="00706255"/>
    <w:rsid w:val="007142A5"/>
    <w:rsid w:val="00721BB7"/>
    <w:rsid w:val="00727166"/>
    <w:rsid w:val="00731E67"/>
    <w:rsid w:val="00734121"/>
    <w:rsid w:val="00735BE5"/>
    <w:rsid w:val="007444F3"/>
    <w:rsid w:val="00745AEC"/>
    <w:rsid w:val="00747622"/>
    <w:rsid w:val="007477FC"/>
    <w:rsid w:val="007479A8"/>
    <w:rsid w:val="00747D6A"/>
    <w:rsid w:val="00750C9A"/>
    <w:rsid w:val="00751441"/>
    <w:rsid w:val="00751996"/>
    <w:rsid w:val="00754664"/>
    <w:rsid w:val="00755ADC"/>
    <w:rsid w:val="007573F8"/>
    <w:rsid w:val="007574A8"/>
    <w:rsid w:val="00762DE0"/>
    <w:rsid w:val="00763B02"/>
    <w:rsid w:val="00765C8E"/>
    <w:rsid w:val="00766CE7"/>
    <w:rsid w:val="00773576"/>
    <w:rsid w:val="00780429"/>
    <w:rsid w:val="0078275F"/>
    <w:rsid w:val="007850D0"/>
    <w:rsid w:val="00787CC4"/>
    <w:rsid w:val="007904A3"/>
    <w:rsid w:val="00791227"/>
    <w:rsid w:val="00791268"/>
    <w:rsid w:val="00795BDF"/>
    <w:rsid w:val="007A16BA"/>
    <w:rsid w:val="007A4F91"/>
    <w:rsid w:val="007A7AA8"/>
    <w:rsid w:val="007B021B"/>
    <w:rsid w:val="007B1721"/>
    <w:rsid w:val="007C1CCB"/>
    <w:rsid w:val="007C27F8"/>
    <w:rsid w:val="007C5E48"/>
    <w:rsid w:val="007D06D5"/>
    <w:rsid w:val="007D5E7F"/>
    <w:rsid w:val="007E0E29"/>
    <w:rsid w:val="007E311C"/>
    <w:rsid w:val="007E4DD5"/>
    <w:rsid w:val="007E7B89"/>
    <w:rsid w:val="00804355"/>
    <w:rsid w:val="00807010"/>
    <w:rsid w:val="00821167"/>
    <w:rsid w:val="0082390B"/>
    <w:rsid w:val="00826000"/>
    <w:rsid w:val="008263FC"/>
    <w:rsid w:val="008305F1"/>
    <w:rsid w:val="00835AD6"/>
    <w:rsid w:val="00840CAC"/>
    <w:rsid w:val="008414DD"/>
    <w:rsid w:val="00843FFC"/>
    <w:rsid w:val="008500DA"/>
    <w:rsid w:val="00856416"/>
    <w:rsid w:val="00856E40"/>
    <w:rsid w:val="00861964"/>
    <w:rsid w:val="008630A0"/>
    <w:rsid w:val="0086632F"/>
    <w:rsid w:val="008710E5"/>
    <w:rsid w:val="00881EBB"/>
    <w:rsid w:val="00882ADB"/>
    <w:rsid w:val="00883574"/>
    <w:rsid w:val="00884FFC"/>
    <w:rsid w:val="00885780"/>
    <w:rsid w:val="00887EBE"/>
    <w:rsid w:val="008921DD"/>
    <w:rsid w:val="0089512D"/>
    <w:rsid w:val="00895616"/>
    <w:rsid w:val="0089637F"/>
    <w:rsid w:val="008B16B5"/>
    <w:rsid w:val="008B2641"/>
    <w:rsid w:val="008C07D9"/>
    <w:rsid w:val="008C30D6"/>
    <w:rsid w:val="008C3597"/>
    <w:rsid w:val="008C7583"/>
    <w:rsid w:val="008D4BE9"/>
    <w:rsid w:val="008E6B67"/>
    <w:rsid w:val="008F1275"/>
    <w:rsid w:val="008F1472"/>
    <w:rsid w:val="008F1FE4"/>
    <w:rsid w:val="008F2273"/>
    <w:rsid w:val="008F78EE"/>
    <w:rsid w:val="00901AA5"/>
    <w:rsid w:val="00901CBA"/>
    <w:rsid w:val="0090383F"/>
    <w:rsid w:val="00904D99"/>
    <w:rsid w:val="00905729"/>
    <w:rsid w:val="00911259"/>
    <w:rsid w:val="00921129"/>
    <w:rsid w:val="009218E9"/>
    <w:rsid w:val="00927B04"/>
    <w:rsid w:val="00931B8B"/>
    <w:rsid w:val="00935C09"/>
    <w:rsid w:val="00936A0E"/>
    <w:rsid w:val="00950DF6"/>
    <w:rsid w:val="009523BD"/>
    <w:rsid w:val="0095246D"/>
    <w:rsid w:val="00953F3E"/>
    <w:rsid w:val="00955953"/>
    <w:rsid w:val="009565B9"/>
    <w:rsid w:val="009567AE"/>
    <w:rsid w:val="00956931"/>
    <w:rsid w:val="00961995"/>
    <w:rsid w:val="00962424"/>
    <w:rsid w:val="00963942"/>
    <w:rsid w:val="0096403D"/>
    <w:rsid w:val="009750B5"/>
    <w:rsid w:val="00977611"/>
    <w:rsid w:val="00977BC4"/>
    <w:rsid w:val="00983E81"/>
    <w:rsid w:val="00985FAE"/>
    <w:rsid w:val="009864B3"/>
    <w:rsid w:val="00987469"/>
    <w:rsid w:val="00991F66"/>
    <w:rsid w:val="009A1B54"/>
    <w:rsid w:val="009A1E88"/>
    <w:rsid w:val="009A4F18"/>
    <w:rsid w:val="009A5DEC"/>
    <w:rsid w:val="009A62D5"/>
    <w:rsid w:val="009A70F2"/>
    <w:rsid w:val="009B2F3A"/>
    <w:rsid w:val="009B424A"/>
    <w:rsid w:val="009B6377"/>
    <w:rsid w:val="009B7B41"/>
    <w:rsid w:val="009C155D"/>
    <w:rsid w:val="009C6FC4"/>
    <w:rsid w:val="009D1838"/>
    <w:rsid w:val="009D3AEA"/>
    <w:rsid w:val="009D4BC0"/>
    <w:rsid w:val="009D54B6"/>
    <w:rsid w:val="009E1955"/>
    <w:rsid w:val="009E6295"/>
    <w:rsid w:val="009F44BE"/>
    <w:rsid w:val="009F508E"/>
    <w:rsid w:val="00A00738"/>
    <w:rsid w:val="00A01382"/>
    <w:rsid w:val="00A0210E"/>
    <w:rsid w:val="00A031CF"/>
    <w:rsid w:val="00A039A2"/>
    <w:rsid w:val="00A131DA"/>
    <w:rsid w:val="00A13418"/>
    <w:rsid w:val="00A13BA5"/>
    <w:rsid w:val="00A17EE5"/>
    <w:rsid w:val="00A17FBB"/>
    <w:rsid w:val="00A2515A"/>
    <w:rsid w:val="00A25C42"/>
    <w:rsid w:val="00A25D2B"/>
    <w:rsid w:val="00A336F8"/>
    <w:rsid w:val="00A3553C"/>
    <w:rsid w:val="00A41A53"/>
    <w:rsid w:val="00A42E23"/>
    <w:rsid w:val="00A542BE"/>
    <w:rsid w:val="00A63323"/>
    <w:rsid w:val="00A6400E"/>
    <w:rsid w:val="00A65441"/>
    <w:rsid w:val="00A65A84"/>
    <w:rsid w:val="00A67188"/>
    <w:rsid w:val="00A72870"/>
    <w:rsid w:val="00A73E0F"/>
    <w:rsid w:val="00A742DD"/>
    <w:rsid w:val="00A74E1E"/>
    <w:rsid w:val="00A75B63"/>
    <w:rsid w:val="00A75FED"/>
    <w:rsid w:val="00A766F1"/>
    <w:rsid w:val="00A833F1"/>
    <w:rsid w:val="00A85346"/>
    <w:rsid w:val="00A854F0"/>
    <w:rsid w:val="00A8779A"/>
    <w:rsid w:val="00A87FD7"/>
    <w:rsid w:val="00A90E7D"/>
    <w:rsid w:val="00A93AD5"/>
    <w:rsid w:val="00AA0A41"/>
    <w:rsid w:val="00AA54FC"/>
    <w:rsid w:val="00AA6393"/>
    <w:rsid w:val="00AB095D"/>
    <w:rsid w:val="00AB31E8"/>
    <w:rsid w:val="00AB75CE"/>
    <w:rsid w:val="00AC38A5"/>
    <w:rsid w:val="00AC5DCD"/>
    <w:rsid w:val="00AD015E"/>
    <w:rsid w:val="00AD1158"/>
    <w:rsid w:val="00AD13C3"/>
    <w:rsid w:val="00AD4673"/>
    <w:rsid w:val="00AE65E8"/>
    <w:rsid w:val="00AF1905"/>
    <w:rsid w:val="00AF51D3"/>
    <w:rsid w:val="00B02B5D"/>
    <w:rsid w:val="00B0598D"/>
    <w:rsid w:val="00B077A5"/>
    <w:rsid w:val="00B11E36"/>
    <w:rsid w:val="00B12D58"/>
    <w:rsid w:val="00B1398F"/>
    <w:rsid w:val="00B1748B"/>
    <w:rsid w:val="00B1791C"/>
    <w:rsid w:val="00B25ED8"/>
    <w:rsid w:val="00B27B93"/>
    <w:rsid w:val="00B32EC3"/>
    <w:rsid w:val="00B334EC"/>
    <w:rsid w:val="00B34926"/>
    <w:rsid w:val="00B41CAE"/>
    <w:rsid w:val="00B5058C"/>
    <w:rsid w:val="00B513CD"/>
    <w:rsid w:val="00B51B2F"/>
    <w:rsid w:val="00B52830"/>
    <w:rsid w:val="00B563D0"/>
    <w:rsid w:val="00B571B9"/>
    <w:rsid w:val="00B604A4"/>
    <w:rsid w:val="00B62677"/>
    <w:rsid w:val="00B74827"/>
    <w:rsid w:val="00B8110D"/>
    <w:rsid w:val="00B83069"/>
    <w:rsid w:val="00B87CDB"/>
    <w:rsid w:val="00B90DAB"/>
    <w:rsid w:val="00B966DF"/>
    <w:rsid w:val="00BA02DC"/>
    <w:rsid w:val="00BA3117"/>
    <w:rsid w:val="00BA447E"/>
    <w:rsid w:val="00BB72DD"/>
    <w:rsid w:val="00BC0895"/>
    <w:rsid w:val="00BC4FD6"/>
    <w:rsid w:val="00BC65CA"/>
    <w:rsid w:val="00BC6B2E"/>
    <w:rsid w:val="00BD2526"/>
    <w:rsid w:val="00BE30DE"/>
    <w:rsid w:val="00BE4056"/>
    <w:rsid w:val="00BE4664"/>
    <w:rsid w:val="00BE504B"/>
    <w:rsid w:val="00BE5960"/>
    <w:rsid w:val="00BE69B8"/>
    <w:rsid w:val="00BF14E6"/>
    <w:rsid w:val="00BF2763"/>
    <w:rsid w:val="00BF3C9D"/>
    <w:rsid w:val="00BF7028"/>
    <w:rsid w:val="00C00B4E"/>
    <w:rsid w:val="00C01B06"/>
    <w:rsid w:val="00C04E79"/>
    <w:rsid w:val="00C05C9D"/>
    <w:rsid w:val="00C07E30"/>
    <w:rsid w:val="00C100DE"/>
    <w:rsid w:val="00C1251D"/>
    <w:rsid w:val="00C20F4F"/>
    <w:rsid w:val="00C228EF"/>
    <w:rsid w:val="00C27099"/>
    <w:rsid w:val="00C319D6"/>
    <w:rsid w:val="00C32F7A"/>
    <w:rsid w:val="00C348EE"/>
    <w:rsid w:val="00C34E00"/>
    <w:rsid w:val="00C3636A"/>
    <w:rsid w:val="00C4722F"/>
    <w:rsid w:val="00C474A8"/>
    <w:rsid w:val="00C5144A"/>
    <w:rsid w:val="00C52AE6"/>
    <w:rsid w:val="00C52B86"/>
    <w:rsid w:val="00C573C8"/>
    <w:rsid w:val="00C5788F"/>
    <w:rsid w:val="00C66C25"/>
    <w:rsid w:val="00C66EFC"/>
    <w:rsid w:val="00C710EC"/>
    <w:rsid w:val="00C73BDC"/>
    <w:rsid w:val="00C7516F"/>
    <w:rsid w:val="00C75D9F"/>
    <w:rsid w:val="00C76BF5"/>
    <w:rsid w:val="00C81411"/>
    <w:rsid w:val="00C82946"/>
    <w:rsid w:val="00C85724"/>
    <w:rsid w:val="00C904C7"/>
    <w:rsid w:val="00CA0131"/>
    <w:rsid w:val="00CA22D9"/>
    <w:rsid w:val="00CA2BD8"/>
    <w:rsid w:val="00CA5D59"/>
    <w:rsid w:val="00CB13CB"/>
    <w:rsid w:val="00CB27FB"/>
    <w:rsid w:val="00CB2B5B"/>
    <w:rsid w:val="00CB3611"/>
    <w:rsid w:val="00CB376A"/>
    <w:rsid w:val="00CD179B"/>
    <w:rsid w:val="00CD3520"/>
    <w:rsid w:val="00CD664C"/>
    <w:rsid w:val="00CD6B53"/>
    <w:rsid w:val="00CE2B3F"/>
    <w:rsid w:val="00CE4A70"/>
    <w:rsid w:val="00CE7BCB"/>
    <w:rsid w:val="00CE7E32"/>
    <w:rsid w:val="00CF11CD"/>
    <w:rsid w:val="00CF18FD"/>
    <w:rsid w:val="00CF4E94"/>
    <w:rsid w:val="00D03C6D"/>
    <w:rsid w:val="00D12610"/>
    <w:rsid w:val="00D16B71"/>
    <w:rsid w:val="00D2501B"/>
    <w:rsid w:val="00D251CC"/>
    <w:rsid w:val="00D34B91"/>
    <w:rsid w:val="00D360B1"/>
    <w:rsid w:val="00D363CC"/>
    <w:rsid w:val="00D37016"/>
    <w:rsid w:val="00D3729C"/>
    <w:rsid w:val="00D46FC1"/>
    <w:rsid w:val="00D4723E"/>
    <w:rsid w:val="00D47470"/>
    <w:rsid w:val="00D506F6"/>
    <w:rsid w:val="00D50ACB"/>
    <w:rsid w:val="00D51922"/>
    <w:rsid w:val="00D51B4D"/>
    <w:rsid w:val="00D5433D"/>
    <w:rsid w:val="00D61D09"/>
    <w:rsid w:val="00D64FEB"/>
    <w:rsid w:val="00D7035F"/>
    <w:rsid w:val="00D75D17"/>
    <w:rsid w:val="00D76890"/>
    <w:rsid w:val="00D76E89"/>
    <w:rsid w:val="00D80BA0"/>
    <w:rsid w:val="00D83F1B"/>
    <w:rsid w:val="00D862CC"/>
    <w:rsid w:val="00D9001A"/>
    <w:rsid w:val="00D97BC1"/>
    <w:rsid w:val="00D97D6A"/>
    <w:rsid w:val="00DA00CE"/>
    <w:rsid w:val="00DA3469"/>
    <w:rsid w:val="00DA3645"/>
    <w:rsid w:val="00DB1318"/>
    <w:rsid w:val="00DB3B79"/>
    <w:rsid w:val="00DC15AB"/>
    <w:rsid w:val="00DC654A"/>
    <w:rsid w:val="00DD1639"/>
    <w:rsid w:val="00DD5D7C"/>
    <w:rsid w:val="00DD7053"/>
    <w:rsid w:val="00DE61BE"/>
    <w:rsid w:val="00DE7DF4"/>
    <w:rsid w:val="00DF1001"/>
    <w:rsid w:val="00DF4FDD"/>
    <w:rsid w:val="00DF6C98"/>
    <w:rsid w:val="00DF6D22"/>
    <w:rsid w:val="00DF6D3E"/>
    <w:rsid w:val="00E020F9"/>
    <w:rsid w:val="00E02702"/>
    <w:rsid w:val="00E02C8D"/>
    <w:rsid w:val="00E055DE"/>
    <w:rsid w:val="00E05D22"/>
    <w:rsid w:val="00E06009"/>
    <w:rsid w:val="00E106B0"/>
    <w:rsid w:val="00E10FA9"/>
    <w:rsid w:val="00E1191E"/>
    <w:rsid w:val="00E12FEF"/>
    <w:rsid w:val="00E1536C"/>
    <w:rsid w:val="00E15F40"/>
    <w:rsid w:val="00E1689F"/>
    <w:rsid w:val="00E204F4"/>
    <w:rsid w:val="00E21CA0"/>
    <w:rsid w:val="00E22D0B"/>
    <w:rsid w:val="00E24838"/>
    <w:rsid w:val="00E3185C"/>
    <w:rsid w:val="00E32C86"/>
    <w:rsid w:val="00E336D9"/>
    <w:rsid w:val="00E36BED"/>
    <w:rsid w:val="00E372C3"/>
    <w:rsid w:val="00E378E1"/>
    <w:rsid w:val="00E4627A"/>
    <w:rsid w:val="00E50F3E"/>
    <w:rsid w:val="00E54518"/>
    <w:rsid w:val="00E605E8"/>
    <w:rsid w:val="00E63835"/>
    <w:rsid w:val="00E641FC"/>
    <w:rsid w:val="00E6749A"/>
    <w:rsid w:val="00E73A06"/>
    <w:rsid w:val="00E806AD"/>
    <w:rsid w:val="00E80A38"/>
    <w:rsid w:val="00E85511"/>
    <w:rsid w:val="00E87C35"/>
    <w:rsid w:val="00E914EE"/>
    <w:rsid w:val="00E9617F"/>
    <w:rsid w:val="00E9743E"/>
    <w:rsid w:val="00EA1258"/>
    <w:rsid w:val="00EA1502"/>
    <w:rsid w:val="00EB041C"/>
    <w:rsid w:val="00EB282C"/>
    <w:rsid w:val="00EB6CC1"/>
    <w:rsid w:val="00EB7750"/>
    <w:rsid w:val="00EC0781"/>
    <w:rsid w:val="00EC1E98"/>
    <w:rsid w:val="00EC20AA"/>
    <w:rsid w:val="00EC41CD"/>
    <w:rsid w:val="00ED0700"/>
    <w:rsid w:val="00ED0B5A"/>
    <w:rsid w:val="00ED15FC"/>
    <w:rsid w:val="00ED1933"/>
    <w:rsid w:val="00ED7C29"/>
    <w:rsid w:val="00EE6F8A"/>
    <w:rsid w:val="00EF1DFC"/>
    <w:rsid w:val="00EF21D5"/>
    <w:rsid w:val="00EF3039"/>
    <w:rsid w:val="00EF4C50"/>
    <w:rsid w:val="00EF52D3"/>
    <w:rsid w:val="00EF61DE"/>
    <w:rsid w:val="00F11BFC"/>
    <w:rsid w:val="00F13A89"/>
    <w:rsid w:val="00F14CA1"/>
    <w:rsid w:val="00F14F09"/>
    <w:rsid w:val="00F15614"/>
    <w:rsid w:val="00F22358"/>
    <w:rsid w:val="00F224A4"/>
    <w:rsid w:val="00F24133"/>
    <w:rsid w:val="00F2503F"/>
    <w:rsid w:val="00F25139"/>
    <w:rsid w:val="00F2514C"/>
    <w:rsid w:val="00F31BCA"/>
    <w:rsid w:val="00F32708"/>
    <w:rsid w:val="00F345C4"/>
    <w:rsid w:val="00F35D83"/>
    <w:rsid w:val="00F371D0"/>
    <w:rsid w:val="00F4385F"/>
    <w:rsid w:val="00F46AE9"/>
    <w:rsid w:val="00F50EE5"/>
    <w:rsid w:val="00F54B49"/>
    <w:rsid w:val="00F54B66"/>
    <w:rsid w:val="00F57C49"/>
    <w:rsid w:val="00F61B1A"/>
    <w:rsid w:val="00F63FE8"/>
    <w:rsid w:val="00F664BE"/>
    <w:rsid w:val="00F672FB"/>
    <w:rsid w:val="00F72CC5"/>
    <w:rsid w:val="00F75E4A"/>
    <w:rsid w:val="00F77028"/>
    <w:rsid w:val="00F77D54"/>
    <w:rsid w:val="00F81920"/>
    <w:rsid w:val="00F858D5"/>
    <w:rsid w:val="00F862E7"/>
    <w:rsid w:val="00F94C52"/>
    <w:rsid w:val="00F966E4"/>
    <w:rsid w:val="00FA4720"/>
    <w:rsid w:val="00FA60C9"/>
    <w:rsid w:val="00FA61F4"/>
    <w:rsid w:val="00FA6784"/>
    <w:rsid w:val="00FB32EB"/>
    <w:rsid w:val="00FB6AFA"/>
    <w:rsid w:val="00FC5012"/>
    <w:rsid w:val="00FC65A6"/>
    <w:rsid w:val="00FC6D35"/>
    <w:rsid w:val="00FD0069"/>
    <w:rsid w:val="00FD2AA7"/>
    <w:rsid w:val="00FD7A3A"/>
    <w:rsid w:val="00FD7CB3"/>
    <w:rsid w:val="00FE0802"/>
    <w:rsid w:val="00FE2533"/>
    <w:rsid w:val="00FE607C"/>
    <w:rsid w:val="00FE76E0"/>
    <w:rsid w:val="00FF341D"/>
    <w:rsid w:val="00FF3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E33A123-8565-4F9D-97FE-6B6C81AB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u w:val="single"/>
    </w:rPr>
  </w:style>
  <w:style w:type="paragraph" w:styleId="Heading2">
    <w:name w:val="heading 2"/>
    <w:basedOn w:val="Normal"/>
    <w:next w:val="Normal"/>
    <w:qFormat/>
    <w:pPr>
      <w:keepNext/>
      <w:tabs>
        <w:tab w:val="num" w:pos="720"/>
      </w:tabs>
      <w:ind w:left="720"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num" w:pos="720"/>
      </w:tabs>
      <w:ind w:left="720"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rPr>
      <w:sz w:val="24"/>
    </w:rPr>
  </w:style>
  <w:style w:type="table" w:styleId="TableGrid">
    <w:name w:val="Table Grid"/>
    <w:basedOn w:val="TableNormal"/>
    <w:rsid w:val="00373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D83"/>
    <w:pPr>
      <w:ind w:left="720"/>
    </w:pPr>
  </w:style>
  <w:style w:type="character" w:customStyle="1" w:styleId="Heading1Char">
    <w:name w:val="Heading 1 Char"/>
    <w:link w:val="Heading1"/>
    <w:rsid w:val="00B90DAB"/>
    <w:rPr>
      <w:u w:val="single"/>
      <w:lang w:eastAsia="en-US"/>
    </w:rPr>
  </w:style>
  <w:style w:type="paragraph" w:styleId="BalloonText">
    <w:name w:val="Balloon Text"/>
    <w:basedOn w:val="Normal"/>
    <w:link w:val="BalloonTextChar"/>
    <w:rsid w:val="00194AF1"/>
    <w:rPr>
      <w:rFonts w:ascii="Tahoma" w:hAnsi="Tahoma" w:cs="Tahoma"/>
      <w:sz w:val="16"/>
      <w:szCs w:val="16"/>
    </w:rPr>
  </w:style>
  <w:style w:type="character" w:customStyle="1" w:styleId="BalloonTextChar">
    <w:name w:val="Balloon Text Char"/>
    <w:link w:val="BalloonText"/>
    <w:rsid w:val="00194AF1"/>
    <w:rPr>
      <w:rFonts w:ascii="Tahoma" w:hAnsi="Tahoma" w:cs="Tahoma"/>
      <w:sz w:val="16"/>
      <w:szCs w:val="16"/>
      <w:lang w:eastAsia="en-US"/>
    </w:rPr>
  </w:style>
  <w:style w:type="character" w:customStyle="1" w:styleId="BodyTextIndentChar">
    <w:name w:val="Body Text Indent Char"/>
    <w:link w:val="BodyTextIndent"/>
    <w:rsid w:val="003050D8"/>
    <w:rPr>
      <w:sz w:val="24"/>
      <w:lang w:eastAsia="en-US"/>
    </w:rPr>
  </w:style>
  <w:style w:type="paragraph" w:customStyle="1" w:styleId="Default">
    <w:name w:val="Default"/>
    <w:rsid w:val="0044388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9093">
      <w:bodyDiv w:val="1"/>
      <w:marLeft w:val="0"/>
      <w:marRight w:val="0"/>
      <w:marTop w:val="0"/>
      <w:marBottom w:val="0"/>
      <w:divBdr>
        <w:top w:val="none" w:sz="0" w:space="0" w:color="auto"/>
        <w:left w:val="none" w:sz="0" w:space="0" w:color="auto"/>
        <w:bottom w:val="none" w:sz="0" w:space="0" w:color="auto"/>
        <w:right w:val="none" w:sz="0" w:space="0" w:color="auto"/>
      </w:divBdr>
    </w:div>
    <w:div w:id="71854822">
      <w:bodyDiv w:val="1"/>
      <w:marLeft w:val="0"/>
      <w:marRight w:val="0"/>
      <w:marTop w:val="0"/>
      <w:marBottom w:val="0"/>
      <w:divBdr>
        <w:top w:val="none" w:sz="0" w:space="0" w:color="auto"/>
        <w:left w:val="none" w:sz="0" w:space="0" w:color="auto"/>
        <w:bottom w:val="none" w:sz="0" w:space="0" w:color="auto"/>
        <w:right w:val="none" w:sz="0" w:space="0" w:color="auto"/>
      </w:divBdr>
    </w:div>
    <w:div w:id="116922757">
      <w:bodyDiv w:val="1"/>
      <w:marLeft w:val="0"/>
      <w:marRight w:val="0"/>
      <w:marTop w:val="0"/>
      <w:marBottom w:val="0"/>
      <w:divBdr>
        <w:top w:val="none" w:sz="0" w:space="0" w:color="auto"/>
        <w:left w:val="none" w:sz="0" w:space="0" w:color="auto"/>
        <w:bottom w:val="none" w:sz="0" w:space="0" w:color="auto"/>
        <w:right w:val="none" w:sz="0" w:space="0" w:color="auto"/>
      </w:divBdr>
    </w:div>
    <w:div w:id="177082887">
      <w:bodyDiv w:val="1"/>
      <w:marLeft w:val="0"/>
      <w:marRight w:val="0"/>
      <w:marTop w:val="0"/>
      <w:marBottom w:val="0"/>
      <w:divBdr>
        <w:top w:val="none" w:sz="0" w:space="0" w:color="auto"/>
        <w:left w:val="none" w:sz="0" w:space="0" w:color="auto"/>
        <w:bottom w:val="none" w:sz="0" w:space="0" w:color="auto"/>
        <w:right w:val="none" w:sz="0" w:space="0" w:color="auto"/>
      </w:divBdr>
    </w:div>
    <w:div w:id="180092946">
      <w:bodyDiv w:val="1"/>
      <w:marLeft w:val="0"/>
      <w:marRight w:val="0"/>
      <w:marTop w:val="0"/>
      <w:marBottom w:val="0"/>
      <w:divBdr>
        <w:top w:val="none" w:sz="0" w:space="0" w:color="auto"/>
        <w:left w:val="none" w:sz="0" w:space="0" w:color="auto"/>
        <w:bottom w:val="none" w:sz="0" w:space="0" w:color="auto"/>
        <w:right w:val="none" w:sz="0" w:space="0" w:color="auto"/>
      </w:divBdr>
    </w:div>
    <w:div w:id="270550475">
      <w:bodyDiv w:val="1"/>
      <w:marLeft w:val="0"/>
      <w:marRight w:val="0"/>
      <w:marTop w:val="0"/>
      <w:marBottom w:val="0"/>
      <w:divBdr>
        <w:top w:val="none" w:sz="0" w:space="0" w:color="auto"/>
        <w:left w:val="none" w:sz="0" w:space="0" w:color="auto"/>
        <w:bottom w:val="none" w:sz="0" w:space="0" w:color="auto"/>
        <w:right w:val="none" w:sz="0" w:space="0" w:color="auto"/>
      </w:divBdr>
    </w:div>
    <w:div w:id="308482385">
      <w:bodyDiv w:val="1"/>
      <w:marLeft w:val="0"/>
      <w:marRight w:val="0"/>
      <w:marTop w:val="0"/>
      <w:marBottom w:val="0"/>
      <w:divBdr>
        <w:top w:val="none" w:sz="0" w:space="0" w:color="auto"/>
        <w:left w:val="none" w:sz="0" w:space="0" w:color="auto"/>
        <w:bottom w:val="none" w:sz="0" w:space="0" w:color="auto"/>
        <w:right w:val="none" w:sz="0" w:space="0" w:color="auto"/>
      </w:divBdr>
    </w:div>
    <w:div w:id="346061787">
      <w:bodyDiv w:val="1"/>
      <w:marLeft w:val="0"/>
      <w:marRight w:val="0"/>
      <w:marTop w:val="0"/>
      <w:marBottom w:val="0"/>
      <w:divBdr>
        <w:top w:val="none" w:sz="0" w:space="0" w:color="auto"/>
        <w:left w:val="none" w:sz="0" w:space="0" w:color="auto"/>
        <w:bottom w:val="none" w:sz="0" w:space="0" w:color="auto"/>
        <w:right w:val="none" w:sz="0" w:space="0" w:color="auto"/>
      </w:divBdr>
    </w:div>
    <w:div w:id="351491065">
      <w:bodyDiv w:val="1"/>
      <w:marLeft w:val="0"/>
      <w:marRight w:val="0"/>
      <w:marTop w:val="0"/>
      <w:marBottom w:val="0"/>
      <w:divBdr>
        <w:top w:val="none" w:sz="0" w:space="0" w:color="auto"/>
        <w:left w:val="none" w:sz="0" w:space="0" w:color="auto"/>
        <w:bottom w:val="none" w:sz="0" w:space="0" w:color="auto"/>
        <w:right w:val="none" w:sz="0" w:space="0" w:color="auto"/>
      </w:divBdr>
    </w:div>
    <w:div w:id="423109696">
      <w:bodyDiv w:val="1"/>
      <w:marLeft w:val="0"/>
      <w:marRight w:val="0"/>
      <w:marTop w:val="0"/>
      <w:marBottom w:val="0"/>
      <w:divBdr>
        <w:top w:val="none" w:sz="0" w:space="0" w:color="auto"/>
        <w:left w:val="none" w:sz="0" w:space="0" w:color="auto"/>
        <w:bottom w:val="none" w:sz="0" w:space="0" w:color="auto"/>
        <w:right w:val="none" w:sz="0" w:space="0" w:color="auto"/>
      </w:divBdr>
    </w:div>
    <w:div w:id="610284282">
      <w:bodyDiv w:val="1"/>
      <w:marLeft w:val="0"/>
      <w:marRight w:val="0"/>
      <w:marTop w:val="0"/>
      <w:marBottom w:val="0"/>
      <w:divBdr>
        <w:top w:val="none" w:sz="0" w:space="0" w:color="auto"/>
        <w:left w:val="none" w:sz="0" w:space="0" w:color="auto"/>
        <w:bottom w:val="none" w:sz="0" w:space="0" w:color="auto"/>
        <w:right w:val="none" w:sz="0" w:space="0" w:color="auto"/>
      </w:divBdr>
    </w:div>
    <w:div w:id="682240704">
      <w:bodyDiv w:val="1"/>
      <w:marLeft w:val="0"/>
      <w:marRight w:val="0"/>
      <w:marTop w:val="0"/>
      <w:marBottom w:val="0"/>
      <w:divBdr>
        <w:top w:val="none" w:sz="0" w:space="0" w:color="auto"/>
        <w:left w:val="none" w:sz="0" w:space="0" w:color="auto"/>
        <w:bottom w:val="none" w:sz="0" w:space="0" w:color="auto"/>
        <w:right w:val="none" w:sz="0" w:space="0" w:color="auto"/>
      </w:divBdr>
    </w:div>
    <w:div w:id="766266631">
      <w:bodyDiv w:val="1"/>
      <w:marLeft w:val="0"/>
      <w:marRight w:val="0"/>
      <w:marTop w:val="0"/>
      <w:marBottom w:val="0"/>
      <w:divBdr>
        <w:top w:val="none" w:sz="0" w:space="0" w:color="auto"/>
        <w:left w:val="none" w:sz="0" w:space="0" w:color="auto"/>
        <w:bottom w:val="none" w:sz="0" w:space="0" w:color="auto"/>
        <w:right w:val="none" w:sz="0" w:space="0" w:color="auto"/>
      </w:divBdr>
    </w:div>
    <w:div w:id="786855824">
      <w:bodyDiv w:val="1"/>
      <w:marLeft w:val="0"/>
      <w:marRight w:val="0"/>
      <w:marTop w:val="0"/>
      <w:marBottom w:val="0"/>
      <w:divBdr>
        <w:top w:val="none" w:sz="0" w:space="0" w:color="auto"/>
        <w:left w:val="none" w:sz="0" w:space="0" w:color="auto"/>
        <w:bottom w:val="none" w:sz="0" w:space="0" w:color="auto"/>
        <w:right w:val="none" w:sz="0" w:space="0" w:color="auto"/>
      </w:divBdr>
    </w:div>
    <w:div w:id="794325256">
      <w:bodyDiv w:val="1"/>
      <w:marLeft w:val="0"/>
      <w:marRight w:val="0"/>
      <w:marTop w:val="0"/>
      <w:marBottom w:val="0"/>
      <w:divBdr>
        <w:top w:val="none" w:sz="0" w:space="0" w:color="auto"/>
        <w:left w:val="none" w:sz="0" w:space="0" w:color="auto"/>
        <w:bottom w:val="none" w:sz="0" w:space="0" w:color="auto"/>
        <w:right w:val="none" w:sz="0" w:space="0" w:color="auto"/>
      </w:divBdr>
    </w:div>
    <w:div w:id="805001673">
      <w:bodyDiv w:val="1"/>
      <w:marLeft w:val="0"/>
      <w:marRight w:val="0"/>
      <w:marTop w:val="0"/>
      <w:marBottom w:val="0"/>
      <w:divBdr>
        <w:top w:val="none" w:sz="0" w:space="0" w:color="auto"/>
        <w:left w:val="none" w:sz="0" w:space="0" w:color="auto"/>
        <w:bottom w:val="none" w:sz="0" w:space="0" w:color="auto"/>
        <w:right w:val="none" w:sz="0" w:space="0" w:color="auto"/>
      </w:divBdr>
    </w:div>
    <w:div w:id="845559173">
      <w:bodyDiv w:val="1"/>
      <w:marLeft w:val="0"/>
      <w:marRight w:val="0"/>
      <w:marTop w:val="0"/>
      <w:marBottom w:val="0"/>
      <w:divBdr>
        <w:top w:val="none" w:sz="0" w:space="0" w:color="auto"/>
        <w:left w:val="none" w:sz="0" w:space="0" w:color="auto"/>
        <w:bottom w:val="none" w:sz="0" w:space="0" w:color="auto"/>
        <w:right w:val="none" w:sz="0" w:space="0" w:color="auto"/>
      </w:divBdr>
    </w:div>
    <w:div w:id="923101343">
      <w:bodyDiv w:val="1"/>
      <w:marLeft w:val="0"/>
      <w:marRight w:val="0"/>
      <w:marTop w:val="0"/>
      <w:marBottom w:val="0"/>
      <w:divBdr>
        <w:top w:val="none" w:sz="0" w:space="0" w:color="auto"/>
        <w:left w:val="none" w:sz="0" w:space="0" w:color="auto"/>
        <w:bottom w:val="none" w:sz="0" w:space="0" w:color="auto"/>
        <w:right w:val="none" w:sz="0" w:space="0" w:color="auto"/>
      </w:divBdr>
    </w:div>
    <w:div w:id="951744868">
      <w:bodyDiv w:val="1"/>
      <w:marLeft w:val="0"/>
      <w:marRight w:val="0"/>
      <w:marTop w:val="0"/>
      <w:marBottom w:val="0"/>
      <w:divBdr>
        <w:top w:val="none" w:sz="0" w:space="0" w:color="auto"/>
        <w:left w:val="none" w:sz="0" w:space="0" w:color="auto"/>
        <w:bottom w:val="none" w:sz="0" w:space="0" w:color="auto"/>
        <w:right w:val="none" w:sz="0" w:space="0" w:color="auto"/>
      </w:divBdr>
    </w:div>
    <w:div w:id="985622279">
      <w:bodyDiv w:val="1"/>
      <w:marLeft w:val="0"/>
      <w:marRight w:val="0"/>
      <w:marTop w:val="0"/>
      <w:marBottom w:val="0"/>
      <w:divBdr>
        <w:top w:val="none" w:sz="0" w:space="0" w:color="auto"/>
        <w:left w:val="none" w:sz="0" w:space="0" w:color="auto"/>
        <w:bottom w:val="none" w:sz="0" w:space="0" w:color="auto"/>
        <w:right w:val="none" w:sz="0" w:space="0" w:color="auto"/>
      </w:divBdr>
    </w:div>
    <w:div w:id="1015577032">
      <w:bodyDiv w:val="1"/>
      <w:marLeft w:val="0"/>
      <w:marRight w:val="0"/>
      <w:marTop w:val="0"/>
      <w:marBottom w:val="0"/>
      <w:divBdr>
        <w:top w:val="none" w:sz="0" w:space="0" w:color="auto"/>
        <w:left w:val="none" w:sz="0" w:space="0" w:color="auto"/>
        <w:bottom w:val="none" w:sz="0" w:space="0" w:color="auto"/>
        <w:right w:val="none" w:sz="0" w:space="0" w:color="auto"/>
      </w:divBdr>
    </w:div>
    <w:div w:id="1079447288">
      <w:bodyDiv w:val="1"/>
      <w:marLeft w:val="0"/>
      <w:marRight w:val="0"/>
      <w:marTop w:val="0"/>
      <w:marBottom w:val="0"/>
      <w:divBdr>
        <w:top w:val="none" w:sz="0" w:space="0" w:color="auto"/>
        <w:left w:val="none" w:sz="0" w:space="0" w:color="auto"/>
        <w:bottom w:val="none" w:sz="0" w:space="0" w:color="auto"/>
        <w:right w:val="none" w:sz="0" w:space="0" w:color="auto"/>
      </w:divBdr>
    </w:div>
    <w:div w:id="1179392601">
      <w:bodyDiv w:val="1"/>
      <w:marLeft w:val="0"/>
      <w:marRight w:val="0"/>
      <w:marTop w:val="0"/>
      <w:marBottom w:val="0"/>
      <w:divBdr>
        <w:top w:val="none" w:sz="0" w:space="0" w:color="auto"/>
        <w:left w:val="none" w:sz="0" w:space="0" w:color="auto"/>
        <w:bottom w:val="none" w:sz="0" w:space="0" w:color="auto"/>
        <w:right w:val="none" w:sz="0" w:space="0" w:color="auto"/>
      </w:divBdr>
    </w:div>
    <w:div w:id="1245186655">
      <w:bodyDiv w:val="1"/>
      <w:marLeft w:val="0"/>
      <w:marRight w:val="0"/>
      <w:marTop w:val="0"/>
      <w:marBottom w:val="0"/>
      <w:divBdr>
        <w:top w:val="none" w:sz="0" w:space="0" w:color="auto"/>
        <w:left w:val="none" w:sz="0" w:space="0" w:color="auto"/>
        <w:bottom w:val="none" w:sz="0" w:space="0" w:color="auto"/>
        <w:right w:val="none" w:sz="0" w:space="0" w:color="auto"/>
      </w:divBdr>
    </w:div>
    <w:div w:id="1544055345">
      <w:bodyDiv w:val="1"/>
      <w:marLeft w:val="0"/>
      <w:marRight w:val="0"/>
      <w:marTop w:val="0"/>
      <w:marBottom w:val="0"/>
      <w:divBdr>
        <w:top w:val="none" w:sz="0" w:space="0" w:color="auto"/>
        <w:left w:val="none" w:sz="0" w:space="0" w:color="auto"/>
        <w:bottom w:val="none" w:sz="0" w:space="0" w:color="auto"/>
        <w:right w:val="none" w:sz="0" w:space="0" w:color="auto"/>
      </w:divBdr>
    </w:div>
    <w:div w:id="1678187318">
      <w:bodyDiv w:val="1"/>
      <w:marLeft w:val="0"/>
      <w:marRight w:val="0"/>
      <w:marTop w:val="0"/>
      <w:marBottom w:val="0"/>
      <w:divBdr>
        <w:top w:val="none" w:sz="0" w:space="0" w:color="auto"/>
        <w:left w:val="none" w:sz="0" w:space="0" w:color="auto"/>
        <w:bottom w:val="none" w:sz="0" w:space="0" w:color="auto"/>
        <w:right w:val="none" w:sz="0" w:space="0" w:color="auto"/>
      </w:divBdr>
    </w:div>
    <w:div w:id="1852256199">
      <w:bodyDiv w:val="1"/>
      <w:marLeft w:val="0"/>
      <w:marRight w:val="0"/>
      <w:marTop w:val="0"/>
      <w:marBottom w:val="0"/>
      <w:divBdr>
        <w:top w:val="none" w:sz="0" w:space="0" w:color="auto"/>
        <w:left w:val="none" w:sz="0" w:space="0" w:color="auto"/>
        <w:bottom w:val="none" w:sz="0" w:space="0" w:color="auto"/>
        <w:right w:val="none" w:sz="0" w:space="0" w:color="auto"/>
      </w:divBdr>
    </w:div>
    <w:div w:id="1965498707">
      <w:bodyDiv w:val="1"/>
      <w:marLeft w:val="0"/>
      <w:marRight w:val="0"/>
      <w:marTop w:val="0"/>
      <w:marBottom w:val="0"/>
      <w:divBdr>
        <w:top w:val="none" w:sz="0" w:space="0" w:color="auto"/>
        <w:left w:val="none" w:sz="0" w:space="0" w:color="auto"/>
        <w:bottom w:val="none" w:sz="0" w:space="0" w:color="auto"/>
        <w:right w:val="none" w:sz="0" w:space="0" w:color="auto"/>
      </w:divBdr>
    </w:div>
    <w:div w:id="2102139750">
      <w:bodyDiv w:val="1"/>
      <w:marLeft w:val="0"/>
      <w:marRight w:val="0"/>
      <w:marTop w:val="0"/>
      <w:marBottom w:val="0"/>
      <w:divBdr>
        <w:top w:val="none" w:sz="0" w:space="0" w:color="auto"/>
        <w:left w:val="none" w:sz="0" w:space="0" w:color="auto"/>
        <w:bottom w:val="none" w:sz="0" w:space="0" w:color="auto"/>
        <w:right w:val="none" w:sz="0" w:space="0" w:color="auto"/>
      </w:divBdr>
    </w:div>
    <w:div w:id="2124424553">
      <w:bodyDiv w:val="1"/>
      <w:marLeft w:val="0"/>
      <w:marRight w:val="0"/>
      <w:marTop w:val="0"/>
      <w:marBottom w:val="0"/>
      <w:divBdr>
        <w:top w:val="none" w:sz="0" w:space="0" w:color="auto"/>
        <w:left w:val="none" w:sz="0" w:space="0" w:color="auto"/>
        <w:bottom w:val="none" w:sz="0" w:space="0" w:color="auto"/>
        <w:right w:val="none" w:sz="0" w:space="0" w:color="auto"/>
      </w:divBdr>
    </w:div>
    <w:div w:id="213956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658E7-E36A-4666-A458-9320004F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1367</Words>
  <Characters>7773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Pre-Installed User</dc:creator>
  <cp:keywords/>
  <cp:lastModifiedBy>Gabriella Wright</cp:lastModifiedBy>
  <cp:revision>2</cp:revision>
  <cp:lastPrinted>2020-01-08T08:30:00Z</cp:lastPrinted>
  <dcterms:created xsi:type="dcterms:W3CDTF">2021-06-17T07:16:00Z</dcterms:created>
  <dcterms:modified xsi:type="dcterms:W3CDTF">2021-06-17T07:16:00Z</dcterms:modified>
</cp:coreProperties>
</file>